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Pr="00772443" w:rsidRDefault="00C671AF">
      <w:pPr>
        <w:rPr>
          <w:lang w:val="es-NI"/>
        </w:rPr>
      </w:pPr>
      <w:r w:rsidRPr="00772443">
        <w:rPr>
          <w:noProof/>
          <w:lang w:val="es-NI"/>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Pr="00772443" w:rsidRDefault="00A43F19">
      <w:pPr>
        <w:rPr>
          <w:lang w:val="es-NI"/>
        </w:rPr>
      </w:pPr>
    </w:p>
    <w:p w14:paraId="3A103433" w14:textId="419C18F8" w:rsidR="00A43F19" w:rsidRPr="00772443" w:rsidRDefault="00A43F19">
      <w:pPr>
        <w:rPr>
          <w:lang w:val="es-NI"/>
        </w:rPr>
      </w:pPr>
    </w:p>
    <w:p w14:paraId="51D40A8F" w14:textId="08729597" w:rsidR="00A43F19" w:rsidRPr="00772443" w:rsidRDefault="00BD2B7A">
      <w:pPr>
        <w:rPr>
          <w:lang w:val="es-NI"/>
        </w:rPr>
      </w:pPr>
      <w:r w:rsidRPr="00772443">
        <w:rPr>
          <w:noProof/>
          <w:color w:val="DBEFF1" w:themeColor="accent4" w:themeTint="33"/>
          <w:lang w:val="es-NI"/>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1BAF0A"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40D77CE" w:rsidR="005410E9" w:rsidRPr="00772443" w:rsidRDefault="005410E9">
      <w:pPr>
        <w:rPr>
          <w:b/>
          <w:bCs/>
          <w:sz w:val="144"/>
          <w:szCs w:val="144"/>
          <w:lang w:val="es-NI"/>
        </w:rPr>
      </w:pPr>
    </w:p>
    <w:p w14:paraId="2C5FA821" w14:textId="18CE2A47" w:rsidR="00235F7A" w:rsidRPr="00772443" w:rsidRDefault="00235F7A">
      <w:pPr>
        <w:rPr>
          <w:b/>
          <w:bCs/>
          <w:color w:val="194869" w:themeColor="accent1"/>
          <w:sz w:val="96"/>
          <w:szCs w:val="96"/>
          <w:lang w:val="es-NI"/>
        </w:rPr>
      </w:pPr>
    </w:p>
    <w:p w14:paraId="5E986F59" w14:textId="4928BBBD" w:rsidR="00235F7A" w:rsidRPr="00772443" w:rsidRDefault="00235F7A">
      <w:pPr>
        <w:rPr>
          <w:b/>
          <w:bCs/>
          <w:color w:val="194869" w:themeColor="accent1"/>
          <w:sz w:val="96"/>
          <w:szCs w:val="96"/>
          <w:lang w:val="es-NI"/>
        </w:rPr>
      </w:pPr>
    </w:p>
    <w:p w14:paraId="78BD709E" w14:textId="3D2E9624" w:rsidR="00235F7A" w:rsidRPr="00772443" w:rsidRDefault="00235F7A">
      <w:pPr>
        <w:rPr>
          <w:b/>
          <w:bCs/>
          <w:color w:val="194869" w:themeColor="accent1"/>
          <w:sz w:val="96"/>
          <w:szCs w:val="96"/>
          <w:lang w:val="es-NI"/>
        </w:rPr>
      </w:pPr>
    </w:p>
    <w:p w14:paraId="1FA904AE" w14:textId="7B51D9D7" w:rsidR="00235F7A" w:rsidRPr="00772443" w:rsidRDefault="00235F7A">
      <w:pPr>
        <w:rPr>
          <w:b/>
          <w:bCs/>
          <w:color w:val="194869" w:themeColor="accent1"/>
          <w:sz w:val="96"/>
          <w:szCs w:val="96"/>
          <w:lang w:val="es-NI"/>
        </w:rPr>
      </w:pPr>
    </w:p>
    <w:p w14:paraId="6857F9E3" w14:textId="45752DCD" w:rsidR="004646E9" w:rsidRPr="00772443" w:rsidRDefault="00395F93" w:rsidP="009E4EB3">
      <w:pPr>
        <w:rPr>
          <w:b/>
          <w:bCs/>
          <w:color w:val="194869" w:themeColor="accent1"/>
          <w:sz w:val="72"/>
          <w:szCs w:val="96"/>
          <w:lang w:val="es-NI"/>
        </w:rPr>
      </w:pPr>
      <w:r w:rsidRPr="00772443">
        <w:rPr>
          <w:b/>
          <w:bCs/>
          <w:color w:val="194869" w:themeColor="accent1"/>
          <w:sz w:val="72"/>
          <w:szCs w:val="96"/>
          <w:lang w:val="es-NI" w:bidi="es-ES"/>
        </w:rPr>
        <w:t>Manual para las consultas con las partes interesadas sobre el indicador 6.5.1 de los ODS</w:t>
      </w:r>
    </w:p>
    <w:p w14:paraId="062C7CED" w14:textId="3FDAF0D7" w:rsidR="00844946" w:rsidRPr="00772443" w:rsidRDefault="00844946">
      <w:pPr>
        <w:rPr>
          <w:color w:val="FFFFFF" w:themeColor="background1"/>
          <w:sz w:val="28"/>
          <w:szCs w:val="28"/>
          <w:lang w:val="es-NI"/>
        </w:rPr>
      </w:pPr>
    </w:p>
    <w:p w14:paraId="5A8BF614" w14:textId="1A6D36AC" w:rsidR="00844946" w:rsidRPr="00772443" w:rsidRDefault="00844946">
      <w:pPr>
        <w:rPr>
          <w:color w:val="FFFFFF" w:themeColor="background1"/>
          <w:sz w:val="28"/>
          <w:szCs w:val="28"/>
          <w:lang w:val="es-NI"/>
        </w:rPr>
      </w:pPr>
    </w:p>
    <w:p w14:paraId="55F545EF" w14:textId="35B3055E" w:rsidR="00A43F19" w:rsidRPr="00772443" w:rsidRDefault="00A43F19">
      <w:pPr>
        <w:rPr>
          <w:color w:val="4698D3" w:themeColor="accent1" w:themeTint="99"/>
          <w:sz w:val="28"/>
          <w:szCs w:val="28"/>
          <w:lang w:val="es-NI"/>
        </w:rPr>
      </w:pPr>
    </w:p>
    <w:p w14:paraId="71EAD197" w14:textId="1573F2C8" w:rsidR="00B0219D" w:rsidRPr="00772443" w:rsidRDefault="00B0219D">
      <w:pPr>
        <w:rPr>
          <w:color w:val="4698D3" w:themeColor="accent1" w:themeTint="99"/>
          <w:sz w:val="28"/>
          <w:szCs w:val="28"/>
          <w:lang w:val="es-NI"/>
        </w:rPr>
      </w:pPr>
    </w:p>
    <w:p w14:paraId="7E665D9F" w14:textId="617DBA9D" w:rsidR="00B0219D" w:rsidRPr="00772443" w:rsidRDefault="00B0219D">
      <w:pPr>
        <w:rPr>
          <w:color w:val="4698D3" w:themeColor="accent1" w:themeTint="99"/>
          <w:sz w:val="28"/>
          <w:szCs w:val="28"/>
          <w:lang w:val="es-NI"/>
        </w:rPr>
      </w:pPr>
    </w:p>
    <w:p w14:paraId="5806E812" w14:textId="534F4B6D" w:rsidR="009819C7" w:rsidRPr="00772443" w:rsidRDefault="009819C7">
      <w:pPr>
        <w:rPr>
          <w:color w:val="4698D3" w:themeColor="accent1" w:themeTint="99"/>
          <w:sz w:val="28"/>
          <w:szCs w:val="28"/>
          <w:lang w:val="es-NI"/>
        </w:rPr>
      </w:pPr>
      <w:r w:rsidRPr="00772443">
        <w:rPr>
          <w:sz w:val="52"/>
          <w:szCs w:val="52"/>
          <w:lang w:val="es-NI"/>
        </w:rPr>
        <w:br w:type="page"/>
      </w:r>
    </w:p>
    <w:p w14:paraId="38F10606" w14:textId="459A7F77" w:rsidR="004646E9" w:rsidRPr="00772443" w:rsidRDefault="00970943" w:rsidP="00582879">
      <w:pPr>
        <w:pStyle w:val="Heading1"/>
        <w:numPr>
          <w:ilvl w:val="0"/>
          <w:numId w:val="2"/>
        </w:numPr>
        <w:rPr>
          <w:lang w:val="es-NI"/>
        </w:rPr>
      </w:pPr>
      <w:r w:rsidRPr="00772443">
        <w:rPr>
          <w:lang w:val="es-NI"/>
        </w:rPr>
        <w:lastRenderedPageBreak/>
        <w:t xml:space="preserve"> </w:t>
      </w:r>
      <w:r w:rsidR="00582879" w:rsidRPr="00772443">
        <w:rPr>
          <w:lang w:val="es-NI" w:bidi="es-ES"/>
        </w:rPr>
        <w:t>Antecedentes y finalidad del presente documento</w:t>
      </w:r>
    </w:p>
    <w:p w14:paraId="79A46F6A" w14:textId="6026DAE4" w:rsidR="00582879" w:rsidRPr="00772443" w:rsidRDefault="00582879" w:rsidP="00582879">
      <w:pPr>
        <w:pStyle w:val="paragraph"/>
        <w:spacing w:beforeAutospacing="0" w:after="120" w:afterAutospacing="0"/>
        <w:jc w:val="both"/>
        <w:textAlignment w:val="baseline"/>
        <w:rPr>
          <w:rFonts w:asciiTheme="minorHAnsi" w:hAnsiTheme="minorHAnsi" w:cstheme="minorHAnsi"/>
          <w:color w:val="12354E" w:themeColor="accent1" w:themeShade="BF"/>
          <w:lang w:val="es-NI"/>
        </w:rPr>
      </w:pPr>
      <w:r w:rsidRPr="00772443">
        <w:rPr>
          <w:rFonts w:asciiTheme="minorHAnsi" w:hAnsiTheme="minorHAnsi" w:cstheme="minorHAnsi"/>
          <w:color w:val="12354E" w:themeColor="accent1" w:themeShade="BF"/>
          <w:lang w:val="es-NI" w:bidi="es-ES"/>
        </w:rPr>
        <w:t xml:space="preserve">El </w:t>
      </w:r>
      <w:r w:rsidRPr="00772443">
        <w:rPr>
          <w:rFonts w:asciiTheme="minorHAnsi" w:hAnsiTheme="minorHAnsi" w:cstheme="minorHAnsi"/>
          <w:b/>
          <w:color w:val="12354E" w:themeColor="accent1" w:themeShade="BF"/>
          <w:lang w:val="es-NI" w:bidi="es-ES"/>
        </w:rPr>
        <w:t>“Manual para las consultas con las partes interesadas sobre el indicador 6.5.1 de los ODS”</w:t>
      </w:r>
      <w:r w:rsidRPr="00772443">
        <w:rPr>
          <w:rFonts w:asciiTheme="minorHAnsi" w:hAnsiTheme="minorHAnsi" w:cstheme="minorHAnsi"/>
          <w:color w:val="12354E" w:themeColor="accent1" w:themeShade="BF"/>
          <w:lang w:val="es-NI" w:bidi="es-ES"/>
        </w:rPr>
        <w:t xml:space="preserve"> contiene orientaciones e instrumentos para llevar a cabo procesos de consulta con múltiples interesados a los efectos de cumplimentar la </w:t>
      </w:r>
      <w:hyperlink r:id="rId12">
        <w:r w:rsidRPr="00772443">
          <w:rPr>
            <w:rStyle w:val="Hyperlink"/>
            <w:rFonts w:asciiTheme="minorHAnsi" w:hAnsiTheme="minorHAnsi" w:cstheme="minorHAnsi"/>
            <w:lang w:val="es-NI" w:bidi="es-ES"/>
          </w:rPr>
          <w:t>encuesta sobre el indicador 6.5.1 de los ODS</w:t>
        </w:r>
      </w:hyperlink>
      <w:r w:rsidRPr="00772443">
        <w:rPr>
          <w:rFonts w:asciiTheme="minorHAnsi" w:hAnsiTheme="minorHAnsi" w:cstheme="minorHAnsi"/>
          <w:color w:val="12354E" w:themeColor="accent1" w:themeShade="BF"/>
          <w:lang w:val="es-NI" w:bidi="es-ES"/>
        </w:rPr>
        <w:t>. Se trata de una guía para los coordinadores del indicador 6.5.1 de los Objetivos de Desarrollo Sostenible (ODS) y las personas que les prestan apoyo en lo relativo a la presentación de informes sobre dicho indicador.</w:t>
      </w:r>
    </w:p>
    <w:p w14:paraId="345341B3" w14:textId="77777777" w:rsidR="00582879" w:rsidRPr="00772443" w:rsidRDefault="00582879" w:rsidP="00582879">
      <w:pPr>
        <w:pStyle w:val="paragraph"/>
        <w:spacing w:beforeAutospacing="0" w:after="120" w:afterAutospacing="0"/>
        <w:jc w:val="both"/>
        <w:textAlignment w:val="baseline"/>
        <w:rPr>
          <w:rFonts w:asciiTheme="minorHAnsi" w:eastAsiaTheme="minorEastAsia" w:hAnsiTheme="minorHAnsi" w:cstheme="minorHAnsi"/>
          <w:color w:val="12354E" w:themeColor="accent1" w:themeShade="BF"/>
          <w:lang w:val="es-NI"/>
        </w:rPr>
      </w:pPr>
      <w:r w:rsidRPr="00772443">
        <w:rPr>
          <w:rFonts w:asciiTheme="minorHAnsi" w:hAnsiTheme="minorHAnsi" w:cstheme="minorHAnsi"/>
          <w:color w:val="12354E" w:themeColor="accent1" w:themeShade="BF"/>
          <w:lang w:val="es-NI" w:bidi="es-ES"/>
        </w:rPr>
        <w:t>El coordinador del indicador 6.5.1 de los ODS se encarga de coordinar la información aportada por las diferentes partes interesadas con el fin de ayudar a que se cumplimente la encuesta</w:t>
      </w:r>
      <w:r w:rsidRPr="00772443">
        <w:rPr>
          <w:rStyle w:val="FootnoteReference"/>
          <w:rFonts w:asciiTheme="minorHAnsi" w:hAnsiTheme="minorHAnsi" w:cstheme="minorHAnsi"/>
          <w:color w:val="12354E" w:themeColor="accent1" w:themeShade="BF"/>
          <w:lang w:val="es-NI" w:bidi="es-ES"/>
        </w:rPr>
        <w:footnoteReference w:id="1"/>
      </w:r>
      <w:r w:rsidRPr="00772443">
        <w:rPr>
          <w:rFonts w:asciiTheme="minorHAnsi" w:hAnsiTheme="minorHAnsi" w:cstheme="minorHAnsi"/>
          <w:color w:val="12354E" w:themeColor="accent1" w:themeShade="BF"/>
          <w:lang w:val="es-NI" w:bidi="es-ES"/>
        </w:rPr>
        <w:t>. La participación extensiva de las partes interesadas en la presentación de informes sobre el indicador 6.5.1 de los ODS aumenta la solidez y utilidad de la encuesta como instrumento de diagnóstico para los debates y la planificación ulteriores.</w:t>
      </w:r>
    </w:p>
    <w:p w14:paraId="3700A229" w14:textId="3C756033" w:rsidR="004646E9" w:rsidRPr="00772443" w:rsidRDefault="00582879" w:rsidP="00582879">
      <w:pPr>
        <w:pStyle w:val="Body"/>
        <w:jc w:val="both"/>
        <w:rPr>
          <w:rFonts w:cstheme="minorHAnsi"/>
          <w:lang w:val="es-NI"/>
        </w:rPr>
      </w:pPr>
      <w:r w:rsidRPr="00772443">
        <w:rPr>
          <w:rFonts w:cstheme="minorHAnsi"/>
          <w:lang w:val="es-NI" w:bidi="es-ES"/>
        </w:rPr>
        <w:t xml:space="preserve">Los países pueden solicitar asistencia técnica o financiera para el proceso de consulta con múltiples interesados al </w:t>
      </w:r>
      <w:hyperlink r:id="rId13" w:history="1">
        <w:r w:rsidRPr="00772443">
          <w:rPr>
            <w:rStyle w:val="Hyperlink"/>
            <w:rFonts w:cstheme="minorHAnsi"/>
            <w:b/>
            <w:lang w:val="es-NI" w:bidi="es-ES"/>
          </w:rPr>
          <w:t>Programa de Apoyo para la GIRH del ODS 6</w:t>
        </w:r>
      </w:hyperlink>
      <w:r w:rsidRPr="00772443">
        <w:rPr>
          <w:rFonts w:cstheme="minorHAnsi"/>
          <w:b/>
          <w:lang w:val="es-NI" w:bidi="es-ES"/>
        </w:rPr>
        <w:t>.</w:t>
      </w:r>
      <w:r w:rsidRPr="00772443">
        <w:rPr>
          <w:rFonts w:cstheme="minorHAnsi"/>
          <w:lang w:val="es-NI" w:bidi="es-ES"/>
        </w:rPr>
        <w:t xml:space="preserve"> Los coordinadores del indicador 6.5.1 de los ODS pueden solicitar esa asistencia por medio del Programa de Apoyo (</w:t>
      </w:r>
      <w:hyperlink r:id="rId14">
        <w:r w:rsidRPr="00772443">
          <w:rPr>
            <w:rFonts w:cstheme="minorHAnsi"/>
            <w:color w:val="92D050"/>
            <w:u w:val="single"/>
            <w:lang w:val="es-NI" w:bidi="es-ES"/>
          </w:rPr>
          <w:t>sdg6iwrmsp@gwp.org</w:t>
        </w:r>
      </w:hyperlink>
      <w:r w:rsidRPr="00772443">
        <w:rPr>
          <w:rFonts w:cstheme="minorHAnsi"/>
          <w:lang w:val="es-NI" w:bidi="es-ES"/>
        </w:rPr>
        <w:t>) o del Servicio de Asistencia para el indicador 651 de los ODS (</w:t>
      </w:r>
      <w:hyperlink r:id="rId15" w:history="1">
        <w:r w:rsidR="00B0018E" w:rsidRPr="00772443">
          <w:rPr>
            <w:rStyle w:val="Hyperlink"/>
            <w:rFonts w:eastAsiaTheme="minorEastAsia"/>
            <w:color w:val="92D050"/>
            <w:lang w:val="es-NI"/>
          </w:rPr>
          <w:t>iwrmsdg651@un.org</w:t>
        </w:r>
      </w:hyperlink>
      <w:r w:rsidRPr="00772443">
        <w:rPr>
          <w:rFonts w:cstheme="minorHAnsi"/>
          <w:lang w:val="es-NI" w:bidi="es-ES"/>
        </w:rPr>
        <w:t>)</w:t>
      </w:r>
      <w:r w:rsidR="004646E9" w:rsidRPr="00772443">
        <w:rPr>
          <w:rFonts w:cstheme="minorHAnsi"/>
          <w:lang w:val="es-NI"/>
        </w:rPr>
        <w:t xml:space="preserve">. </w:t>
      </w:r>
    </w:p>
    <w:tbl>
      <w:tblPr>
        <w:tblStyle w:val="GridTable1Light-Accent5"/>
        <w:tblW w:w="9351" w:type="dxa"/>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9351"/>
      </w:tblGrid>
      <w:tr w:rsidR="00FD46C3" w:rsidRPr="00772443" w14:paraId="2527C190" w14:textId="77777777" w:rsidTr="00FD46C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shd w:val="clear" w:color="auto" w:fill="12354E" w:themeFill="accent1" w:themeFillShade="BF"/>
          </w:tcPr>
          <w:p w14:paraId="6A06E262" w14:textId="77777777" w:rsidR="00FD46C3" w:rsidRPr="00772443" w:rsidRDefault="00FD46C3" w:rsidP="00FD46C3">
            <w:pPr>
              <w:rPr>
                <w:rFonts w:eastAsia="Calibri" w:cstheme="minorHAnsi"/>
                <w:color w:val="FFFFFF" w:themeColor="background1"/>
                <w:szCs w:val="20"/>
                <w:lang w:val="es-NI"/>
              </w:rPr>
            </w:pPr>
            <w:r w:rsidRPr="00772443">
              <w:rPr>
                <w:rStyle w:val="normaltextrun"/>
                <w:rFonts w:cstheme="minorHAnsi"/>
                <w:color w:val="FFFFFF" w:themeColor="background1"/>
                <w:lang w:val="es-NI" w:bidi="es-ES"/>
              </w:rPr>
              <w:t>Estructura de la guía</w:t>
            </w:r>
          </w:p>
        </w:tc>
      </w:tr>
      <w:tr w:rsidR="00FD46C3" w:rsidRPr="00772443" w14:paraId="167F95A5"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013983BD" w14:textId="77777777" w:rsidR="00FD46C3" w:rsidRPr="00772443" w:rsidRDefault="00FD46C3" w:rsidP="00FD46C3">
            <w:pPr>
              <w:rPr>
                <w:rStyle w:val="normaltextrun"/>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Sección 1: Antecedentes y finalidad del presente documento</w:t>
            </w:r>
          </w:p>
        </w:tc>
      </w:tr>
      <w:tr w:rsidR="00FD46C3" w:rsidRPr="00772443" w14:paraId="0FA572CB"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79CA652" w14:textId="77777777" w:rsidR="00FD46C3" w:rsidRPr="00772443" w:rsidRDefault="00FD46C3" w:rsidP="00FD46C3">
            <w:pPr>
              <w:rPr>
                <w:rStyle w:val="normaltextrun"/>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Sección 2: Participación de las partes interesadas</w:t>
            </w:r>
          </w:p>
        </w:tc>
      </w:tr>
      <w:tr w:rsidR="00FD46C3" w:rsidRPr="00772443" w14:paraId="5D027A86"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9318D31" w14:textId="77777777" w:rsidR="00FD46C3" w:rsidRPr="00772443" w:rsidRDefault="00FD46C3" w:rsidP="00FD46C3">
            <w:pPr>
              <w:rPr>
                <w:rStyle w:val="normaltextrun"/>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Sección 3: Propuesta de proceso para las consultas</w:t>
            </w:r>
          </w:p>
        </w:tc>
      </w:tr>
      <w:tr w:rsidR="00FD46C3" w:rsidRPr="00772443" w14:paraId="3C210C76"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3234BD5" w14:textId="77777777" w:rsidR="00FD46C3" w:rsidRPr="00772443" w:rsidRDefault="00FD46C3" w:rsidP="00FD46C3">
            <w:pPr>
              <w:ind w:left="720"/>
              <w:rPr>
                <w:rStyle w:val="normaltextrun"/>
                <w:rFonts w:eastAsia="Calibri" w:cstheme="minorHAnsi"/>
                <w:b w:val="0"/>
                <w:color w:val="12354E" w:themeColor="accent1" w:themeShade="BF"/>
                <w:szCs w:val="20"/>
                <w:lang w:val="es-NI"/>
              </w:rPr>
            </w:pPr>
            <w:r w:rsidRPr="00772443">
              <w:rPr>
                <w:rStyle w:val="normaltextrun"/>
                <w:rFonts w:cstheme="minorHAnsi"/>
                <w:b w:val="0"/>
                <w:color w:val="12354E" w:themeColor="accent1" w:themeShade="BF"/>
                <w:lang w:val="es-NI" w:bidi="es-ES"/>
              </w:rPr>
              <w:t>Anexo 1: Herramienta en línea para la encuesta sobre la GIRH</w:t>
            </w:r>
          </w:p>
        </w:tc>
      </w:tr>
      <w:tr w:rsidR="00FD46C3" w:rsidRPr="00772443" w14:paraId="0BE7B4D2"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AE7DBCA" w14:textId="77777777" w:rsidR="00FD46C3" w:rsidRPr="00772443" w:rsidRDefault="00FD46C3" w:rsidP="00FD46C3">
            <w:pPr>
              <w:ind w:left="720"/>
              <w:rPr>
                <w:rStyle w:val="normaltextrun"/>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Anexo 2: Ejemplo de agenda para talleres de consulta</w:t>
            </w:r>
          </w:p>
        </w:tc>
      </w:tr>
      <w:tr w:rsidR="00FD46C3" w:rsidRPr="00772443" w14:paraId="3C17D302"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31086FF" w14:textId="77777777" w:rsidR="00FD46C3" w:rsidRPr="00772443" w:rsidRDefault="00FD46C3" w:rsidP="00FD46C3">
            <w:pPr>
              <w:ind w:left="720"/>
              <w:rPr>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Anexo 3: Modelo opcional de informe sobre las consultas</w:t>
            </w:r>
          </w:p>
        </w:tc>
      </w:tr>
      <w:tr w:rsidR="00FD46C3" w:rsidRPr="00772443" w14:paraId="127C82B5" w14:textId="77777777" w:rsidTr="00FD46C3">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7906BC8E" w14:textId="77777777" w:rsidR="00FD46C3" w:rsidRPr="00772443" w:rsidRDefault="00FD46C3" w:rsidP="00FD46C3">
            <w:pPr>
              <w:ind w:left="720"/>
              <w:rPr>
                <w:rStyle w:val="normaltextrun"/>
                <w:rFonts w:eastAsia="Calibri" w:cstheme="minorHAnsi"/>
                <w:b w:val="0"/>
                <w:bCs w:val="0"/>
                <w:color w:val="12354E" w:themeColor="accent1" w:themeShade="BF"/>
                <w:szCs w:val="20"/>
                <w:lang w:val="es-NI"/>
              </w:rPr>
            </w:pPr>
            <w:r w:rsidRPr="00772443">
              <w:rPr>
                <w:rStyle w:val="normaltextrun"/>
                <w:rFonts w:cstheme="minorHAnsi"/>
                <w:b w:val="0"/>
                <w:color w:val="12354E" w:themeColor="accent1" w:themeShade="BF"/>
                <w:lang w:val="es-NI" w:bidi="es-ES"/>
              </w:rPr>
              <w:t>Anexo 4: Modelo de términos de referencia para el facilitador</w:t>
            </w:r>
          </w:p>
        </w:tc>
      </w:tr>
    </w:tbl>
    <w:p w14:paraId="62982642" w14:textId="77777777" w:rsidR="00C9543D" w:rsidRPr="00772443" w:rsidRDefault="00C9543D" w:rsidP="00450569">
      <w:pPr>
        <w:pStyle w:val="Body"/>
        <w:jc w:val="both"/>
        <w:rPr>
          <w:rStyle w:val="normaltextrun"/>
          <w:rFonts w:eastAsiaTheme="minorEastAsia"/>
          <w:lang w:val="es-NI"/>
        </w:rPr>
      </w:pPr>
    </w:p>
    <w:p w14:paraId="670BB2BE" w14:textId="3BAE90A7" w:rsidR="00C45F55" w:rsidRPr="00772443" w:rsidRDefault="00FD46C3" w:rsidP="00450569">
      <w:pPr>
        <w:pStyle w:val="Body"/>
        <w:jc w:val="both"/>
        <w:rPr>
          <w:rFonts w:cstheme="minorHAnsi"/>
          <w:lang w:val="es-NI"/>
        </w:rPr>
      </w:pPr>
      <w:r w:rsidRPr="00772443">
        <w:rPr>
          <w:rFonts w:eastAsiaTheme="minorEastAsia"/>
          <w:lang w:val="es-NI" w:bidi="es-ES"/>
        </w:rPr>
        <w:t xml:space="preserve">Este documento forma parte del material de apoyo disponible para el proceso de presentación de informes sobre el indicador 6.5.1 de los ODS. Todos los recursos de apoyo disponibles, incluidos enlaces directos a las versiones en distintos </w:t>
      </w:r>
      <w:proofErr w:type="gramStart"/>
      <w:r w:rsidRPr="00772443">
        <w:rPr>
          <w:rFonts w:eastAsiaTheme="minorEastAsia"/>
          <w:lang w:val="es-NI" w:bidi="es-ES"/>
        </w:rPr>
        <w:t>idiomas,</w:t>
      </w:r>
      <w:proofErr w:type="gramEnd"/>
      <w:r w:rsidRPr="00772443">
        <w:rPr>
          <w:rFonts w:eastAsiaTheme="minorEastAsia"/>
          <w:lang w:val="es-NI" w:bidi="es-ES"/>
        </w:rPr>
        <w:t xml:space="preserve"> pueden consultarse en el </w:t>
      </w:r>
      <w:hyperlink r:id="rId16" w:history="1">
        <w:r w:rsidRPr="00772443">
          <w:rPr>
            <w:rStyle w:val="Hyperlink"/>
            <w:rFonts w:eastAsiaTheme="minorEastAsia"/>
            <w:lang w:val="es-NI" w:bidi="es-ES"/>
          </w:rPr>
          <w:t>portal de datos sobre la GIRH</w:t>
        </w:r>
      </w:hyperlink>
      <w:r w:rsidRPr="00772443">
        <w:rPr>
          <w:rFonts w:eastAsiaTheme="minorEastAsia"/>
          <w:lang w:val="es-NI" w:bidi="es-ES"/>
        </w:rPr>
        <w:t>.</w:t>
      </w:r>
    </w:p>
    <w:p w14:paraId="591B58AC" w14:textId="77777777" w:rsidR="00FD46C3" w:rsidRPr="00772443" w:rsidRDefault="00970943" w:rsidP="00FD46C3">
      <w:pPr>
        <w:pStyle w:val="Heading1"/>
        <w:jc w:val="both"/>
        <w:rPr>
          <w:lang w:val="es-NI"/>
        </w:rPr>
      </w:pPr>
      <w:r w:rsidRPr="00772443">
        <w:rPr>
          <w:lang w:val="es-NI"/>
        </w:rPr>
        <w:t xml:space="preserve"> </w:t>
      </w:r>
    </w:p>
    <w:p w14:paraId="12D9A771" w14:textId="09259F85" w:rsidR="004646E9" w:rsidRPr="00772443" w:rsidRDefault="00FD46C3" w:rsidP="00FA42CA">
      <w:pPr>
        <w:pStyle w:val="Heading1"/>
        <w:numPr>
          <w:ilvl w:val="0"/>
          <w:numId w:val="2"/>
        </w:numPr>
        <w:jc w:val="both"/>
        <w:rPr>
          <w:lang w:val="es-NI"/>
        </w:rPr>
      </w:pPr>
      <w:r w:rsidRPr="00772443">
        <w:rPr>
          <w:lang w:val="es-NI" w:bidi="es-ES"/>
        </w:rPr>
        <w:lastRenderedPageBreak/>
        <w:t>Participación de las partes interesadas</w:t>
      </w:r>
    </w:p>
    <w:p w14:paraId="386D2322" w14:textId="3A773D8A" w:rsidR="00FD46C3" w:rsidRPr="00772443" w:rsidRDefault="00FD46C3" w:rsidP="00FD46C3">
      <w:pPr>
        <w:pStyle w:val="Body"/>
        <w:jc w:val="both"/>
        <w:rPr>
          <w:rStyle w:val="normaltextrun"/>
          <w:lang w:val="es-NI"/>
        </w:rPr>
      </w:pPr>
      <w:r w:rsidRPr="00772443">
        <w:rPr>
          <w:rStyle w:val="normaltextrun"/>
          <w:lang w:val="es-NI"/>
        </w:rPr>
        <w:t xml:space="preserve">La participación de múltiples interesados está contemplada en las definiciones básicas de la gestión integrada de los recursos hídricos (GIRH), dado que se trata de uno de los principios de Dublín y Río de 1992. Es fundamental que las partes interesadas cuyas decisiones influyen en el desarrollo y gestión coordinados del agua, la tierra y los recursos conexos participen en un diálogo abierto y constructivo.  </w:t>
      </w:r>
    </w:p>
    <w:p w14:paraId="4DE9B148" w14:textId="77777777" w:rsidR="00FD46C3" w:rsidRPr="00772443" w:rsidRDefault="00FD46C3" w:rsidP="00FD46C3">
      <w:pPr>
        <w:pStyle w:val="Body"/>
        <w:jc w:val="both"/>
        <w:rPr>
          <w:rStyle w:val="normaltextrun"/>
          <w:lang w:val="es-NI"/>
        </w:rPr>
      </w:pPr>
      <w:r w:rsidRPr="00772443">
        <w:rPr>
          <w:rStyle w:val="normaltextrun"/>
          <w:lang w:val="es-NI"/>
        </w:rPr>
        <w:t>Con el fin de garantizar que las encuestas nacionales presentadas sean representativas, equilibradas y consensuadas, se alienta a los coordinadores del indicador 6.5.1 de los ODS a que inviten a partes interesadas de distintos sectores y niveles a participar en el proceso de consulta para monitorear el indicador 6.5.1 de los ODS. La tabla que figura a continuación presenta una visión general de los distintos grupos de partes interesadas a los que se podría invitar al proceso de consulta.</w:t>
      </w:r>
    </w:p>
    <w:tbl>
      <w:tblPr>
        <w:tblStyle w:val="GridTable1Light-Accent1"/>
        <w:tblW w:w="0" w:type="auto"/>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01"/>
        <w:gridCol w:w="6815"/>
      </w:tblGrid>
      <w:tr w:rsidR="001060F0" w:rsidRPr="00772443" w14:paraId="3B2BE75A" w14:textId="77777777" w:rsidTr="44D2D68A">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01" w:type="dxa"/>
            <w:shd w:val="clear" w:color="auto" w:fill="12354E" w:themeFill="accent1" w:themeFillShade="BF"/>
          </w:tcPr>
          <w:p w14:paraId="4E04467B" w14:textId="77777777" w:rsidR="001060F0" w:rsidRPr="00772443" w:rsidRDefault="001060F0" w:rsidP="00B7315A">
            <w:pPr>
              <w:pStyle w:val="Body"/>
              <w:spacing w:after="120"/>
              <w:rPr>
                <w:color w:val="FFFFFF" w:themeColor="background1"/>
                <w:sz w:val="24"/>
                <w:lang w:val="es-NI"/>
              </w:rPr>
            </w:pPr>
            <w:r w:rsidRPr="00772443">
              <w:rPr>
                <w:color w:val="FFFFFF" w:themeColor="background1"/>
                <w:sz w:val="24"/>
                <w:lang w:val="es-NI" w:bidi="es-ES"/>
              </w:rPr>
              <w:t>Tipo de parte interesada</w:t>
            </w:r>
          </w:p>
        </w:tc>
        <w:tc>
          <w:tcPr>
            <w:tcW w:w="6815" w:type="dxa"/>
            <w:shd w:val="clear" w:color="auto" w:fill="12354E" w:themeFill="accent1" w:themeFillShade="BF"/>
          </w:tcPr>
          <w:p w14:paraId="1510A8E4" w14:textId="77777777" w:rsidR="001060F0" w:rsidRPr="00772443" w:rsidRDefault="001060F0" w:rsidP="00772443">
            <w:pPr>
              <w:pStyle w:val="Body"/>
              <w:spacing w:after="120"/>
              <w:jc w:val="both"/>
              <w:cnfStyle w:val="100000000000" w:firstRow="1" w:lastRow="0" w:firstColumn="0" w:lastColumn="0" w:oddVBand="0" w:evenVBand="0" w:oddHBand="0" w:evenHBand="0" w:firstRowFirstColumn="0" w:firstRowLastColumn="0" w:lastRowFirstColumn="0" w:lastRowLastColumn="0"/>
              <w:rPr>
                <w:color w:val="FFFFFF" w:themeColor="background1"/>
                <w:sz w:val="24"/>
                <w:lang w:val="es-NI"/>
              </w:rPr>
            </w:pPr>
            <w:r w:rsidRPr="00772443">
              <w:rPr>
                <w:color w:val="FFFFFF" w:themeColor="background1"/>
                <w:sz w:val="24"/>
                <w:lang w:val="es-NI" w:bidi="es-ES"/>
              </w:rPr>
              <w:t>Representantes</w:t>
            </w:r>
          </w:p>
        </w:tc>
      </w:tr>
      <w:tr w:rsidR="001060F0" w:rsidRPr="00772443" w14:paraId="726C0DF6"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1E574E33" w14:textId="77777777" w:rsidR="001060F0" w:rsidRPr="00772443" w:rsidRDefault="001060F0" w:rsidP="00B7315A">
            <w:pPr>
              <w:pStyle w:val="Body"/>
              <w:rPr>
                <w:sz w:val="24"/>
                <w:lang w:val="es-NI"/>
              </w:rPr>
            </w:pPr>
            <w:r w:rsidRPr="00772443">
              <w:rPr>
                <w:sz w:val="24"/>
                <w:lang w:val="es-NI" w:bidi="es-ES"/>
              </w:rPr>
              <w:t>Autoridades del gobierno central</w:t>
            </w:r>
          </w:p>
        </w:tc>
        <w:tc>
          <w:tcPr>
            <w:tcW w:w="6815" w:type="dxa"/>
          </w:tcPr>
          <w:p w14:paraId="165FC097"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Representantes del ministerio o ministerios clave competentes en materia de recursos hídricos, así como de otros ministerios o comisiones que trabajen en cuestiones relacionadas con el agua o que influyan en esa esfera (p. ej., agricultura y ganadería, silvicultura, energía, medio ambiente, turismo, planificación y desarrollo nacionales, planificación urbana, abastecimiento de agua y saneamiento, finanzas, cambio climático, gestión de riesgos, sanidad, etc.).  </w:t>
            </w:r>
          </w:p>
        </w:tc>
      </w:tr>
      <w:tr w:rsidR="001060F0" w:rsidRPr="00772443" w14:paraId="27E747E6"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36607D8B" w14:textId="77777777" w:rsidR="001060F0" w:rsidRPr="00772443" w:rsidRDefault="001060F0" w:rsidP="00B7315A">
            <w:pPr>
              <w:pStyle w:val="Body"/>
              <w:rPr>
                <w:sz w:val="24"/>
                <w:lang w:val="es-NI"/>
              </w:rPr>
            </w:pPr>
            <w:r w:rsidRPr="00772443">
              <w:rPr>
                <w:sz w:val="24"/>
                <w:lang w:val="es-NI" w:bidi="es-ES"/>
              </w:rPr>
              <w:t>Nivel de las cuencas, acuíferos, zonas protegidas y ciudades</w:t>
            </w:r>
          </w:p>
        </w:tc>
        <w:tc>
          <w:tcPr>
            <w:tcW w:w="6815" w:type="dxa"/>
          </w:tcPr>
          <w:p w14:paraId="2EBD1BFB"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 xml:space="preserve">Determinadas autoridades locales, representantes de zonas protegidas y organizaciones competentes en materia de gestión o supervisión de los recursos hídricos a nivel de las cuencas lacustres, las cuencas hidrográficas o los acuíferos, incluidos los posibles organismos de aguas transfronterizas, con miras a velar por que las preguntas de la encuesta relativas a “otros niveles” sean coherentes. </w:t>
            </w:r>
          </w:p>
        </w:tc>
      </w:tr>
      <w:tr w:rsidR="001060F0" w:rsidRPr="00772443" w14:paraId="1DCC1EF0"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6EBE029E" w14:textId="77777777" w:rsidR="001060F0" w:rsidRPr="00772443" w:rsidRDefault="001060F0" w:rsidP="00B7315A">
            <w:pPr>
              <w:pStyle w:val="Body"/>
              <w:rPr>
                <w:sz w:val="24"/>
                <w:lang w:val="es-NI"/>
              </w:rPr>
            </w:pPr>
            <w:r w:rsidRPr="00772443">
              <w:rPr>
                <w:sz w:val="24"/>
                <w:lang w:val="es-NI" w:bidi="es-ES"/>
              </w:rPr>
              <w:t>Comunidad científica y tecnológica</w:t>
            </w:r>
          </w:p>
        </w:tc>
        <w:tc>
          <w:tcPr>
            <w:tcW w:w="6815" w:type="dxa"/>
          </w:tcPr>
          <w:p w14:paraId="0A774CDB"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Instituciones académicas, universidades, instituciones de investigación, laboratorios de ideas y otros organismos con información, estudios, datos y análisis pertinentes sobre distintos aspectos de los recursos hídricos.  </w:t>
            </w:r>
          </w:p>
        </w:tc>
      </w:tr>
      <w:tr w:rsidR="001060F0" w:rsidRPr="00772443" w14:paraId="2F0B231A"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3ACBAB90" w14:textId="77777777" w:rsidR="001060F0" w:rsidRPr="00772443" w:rsidRDefault="001060F0" w:rsidP="00B7315A">
            <w:pPr>
              <w:pStyle w:val="Body"/>
              <w:rPr>
                <w:sz w:val="24"/>
                <w:lang w:val="es-NI"/>
              </w:rPr>
            </w:pPr>
            <w:r w:rsidRPr="00772443">
              <w:rPr>
                <w:sz w:val="24"/>
                <w:lang w:val="es-NI" w:bidi="es-ES"/>
              </w:rPr>
              <w:t>Sociedad civil</w:t>
            </w:r>
          </w:p>
        </w:tc>
        <w:tc>
          <w:tcPr>
            <w:tcW w:w="6815" w:type="dxa"/>
          </w:tcPr>
          <w:p w14:paraId="32818D01"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Organizaciones no gubernamentales, representantes de grupos comunitarios, asociaciones de usuarios del agua, organizaciones ambientales u organizaciones agrícolas que se dediquen especialmente a la gestión de los recursos hídricos. </w:t>
            </w:r>
          </w:p>
        </w:tc>
      </w:tr>
      <w:tr w:rsidR="001060F0" w:rsidRPr="00772443" w14:paraId="4F018DCD"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594E57B6" w14:textId="77777777" w:rsidR="001060F0" w:rsidRPr="00772443" w:rsidRDefault="001060F0" w:rsidP="00B7315A">
            <w:pPr>
              <w:pStyle w:val="Body"/>
              <w:rPr>
                <w:sz w:val="24"/>
                <w:lang w:val="es-NI"/>
              </w:rPr>
            </w:pPr>
            <w:r w:rsidRPr="00772443">
              <w:rPr>
                <w:sz w:val="24"/>
                <w:lang w:val="es-NI" w:bidi="es-ES"/>
              </w:rPr>
              <w:lastRenderedPageBreak/>
              <w:t xml:space="preserve">Equipos de las Naciones Unidas en los países </w:t>
            </w:r>
          </w:p>
        </w:tc>
        <w:tc>
          <w:tcPr>
            <w:tcW w:w="6815" w:type="dxa"/>
          </w:tcPr>
          <w:p w14:paraId="2D87D4F5"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 xml:space="preserve">Las entidades de las Naciones Unidas más relevantes para el desarrollo sostenible, el medio ambiente, las consideraciones sociales y el desarrollo económico; en </w:t>
            </w:r>
            <w:hyperlink r:id="rId17">
              <w:r w:rsidRPr="00772443">
                <w:rPr>
                  <w:rStyle w:val="Hyperlink"/>
                  <w:sz w:val="24"/>
                  <w:lang w:val="es-NI" w:bidi="es-ES"/>
                </w:rPr>
                <w:t>este enlace</w:t>
              </w:r>
            </w:hyperlink>
            <w:r w:rsidRPr="00772443">
              <w:rPr>
                <w:sz w:val="24"/>
                <w:lang w:val="es-NI" w:bidi="es-ES"/>
              </w:rPr>
              <w:t xml:space="preserve"> puede consultarse una lista de los equipos. Para lograr una mayor cohesión, normalmente se puede contactar con ellos por medio de la oficina del coordinador o la coordinadora residente.</w:t>
            </w:r>
          </w:p>
        </w:tc>
      </w:tr>
      <w:tr w:rsidR="001060F0" w:rsidRPr="00772443" w14:paraId="358070C3"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09A9C04D" w14:textId="77777777" w:rsidR="001060F0" w:rsidRPr="00772443" w:rsidRDefault="001060F0" w:rsidP="00B7315A">
            <w:pPr>
              <w:pStyle w:val="Body"/>
              <w:rPr>
                <w:sz w:val="24"/>
                <w:lang w:val="es-NI"/>
              </w:rPr>
            </w:pPr>
            <w:r w:rsidRPr="00772443">
              <w:rPr>
                <w:sz w:val="24"/>
                <w:lang w:val="es-NI" w:bidi="es-ES"/>
              </w:rPr>
              <w:t>Aliados de la Asociación Mundial para el Agua o Cap-Net PNUD en el país</w:t>
            </w:r>
          </w:p>
        </w:tc>
        <w:tc>
          <w:tcPr>
            <w:tcW w:w="6815" w:type="dxa"/>
          </w:tcPr>
          <w:p w14:paraId="504300BF" w14:textId="77777777" w:rsidR="001060F0" w:rsidRPr="00772443" w:rsidRDefault="006E4B4E"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hyperlink r:id="rId18">
              <w:r w:rsidR="001060F0" w:rsidRPr="00772443">
                <w:rPr>
                  <w:rStyle w:val="Hyperlink"/>
                  <w:sz w:val="24"/>
                  <w:lang w:val="es-NI" w:bidi="es-ES"/>
                </w:rPr>
                <w:t>Los aliados de la Asociación Mundial para el Agua</w:t>
              </w:r>
            </w:hyperlink>
            <w:r w:rsidR="001060F0" w:rsidRPr="00772443">
              <w:rPr>
                <w:sz w:val="24"/>
                <w:lang w:val="es-NI" w:bidi="es-ES"/>
              </w:rPr>
              <w:t xml:space="preserve"> abarcan </w:t>
            </w:r>
            <w:proofErr w:type="gramStart"/>
            <w:r w:rsidR="001060F0" w:rsidRPr="00772443">
              <w:rPr>
                <w:sz w:val="24"/>
                <w:lang w:val="es-NI" w:bidi="es-ES"/>
              </w:rPr>
              <w:t>una distintos tipos</w:t>
            </w:r>
            <w:proofErr w:type="gramEnd"/>
            <w:r w:rsidR="001060F0" w:rsidRPr="00772443">
              <w:rPr>
                <w:sz w:val="24"/>
                <w:lang w:val="es-NI" w:bidi="es-ES"/>
              </w:rPr>
              <w:t xml:space="preserve"> de partes interesadas preocupadas por la GIRH y que pertenecen a diferentes sectores (</w:t>
            </w:r>
            <w:hyperlink r:id="rId19">
              <w:r w:rsidR="001060F0" w:rsidRPr="00772443">
                <w:rPr>
                  <w:rStyle w:val="Hyperlink"/>
                  <w:sz w:val="24"/>
                  <w:lang w:val="es-NI" w:bidi="es-ES"/>
                </w:rPr>
                <w:t>https://www.gwp.org/en/partner/existing-partners/Partner-Search/</w:t>
              </w:r>
            </w:hyperlink>
            <w:r w:rsidR="001060F0" w:rsidRPr="00772443">
              <w:rPr>
                <w:sz w:val="24"/>
                <w:lang w:val="es-NI" w:bidi="es-ES"/>
              </w:rPr>
              <w:t xml:space="preserve">). Los aliados de </w:t>
            </w:r>
            <w:hyperlink r:id="rId20" w:history="1">
              <w:r w:rsidR="001060F0" w:rsidRPr="00772443">
                <w:rPr>
                  <w:rStyle w:val="Hyperlink"/>
                  <w:sz w:val="24"/>
                  <w:lang w:val="es-NI" w:bidi="es-ES"/>
                </w:rPr>
                <w:t>Cap-Net PNUD</w:t>
              </w:r>
            </w:hyperlink>
            <w:r w:rsidR="001060F0" w:rsidRPr="00772443">
              <w:rPr>
                <w:sz w:val="24"/>
                <w:lang w:val="es-NI" w:bidi="es-ES"/>
              </w:rPr>
              <w:t xml:space="preserve"> incluyen distintas </w:t>
            </w:r>
            <w:hyperlink r:id="rId21" w:history="1">
              <w:r w:rsidR="001060F0" w:rsidRPr="00772443">
                <w:rPr>
                  <w:rStyle w:val="Hyperlink"/>
                  <w:sz w:val="24"/>
                  <w:lang w:val="es-NI" w:bidi="es-ES"/>
                </w:rPr>
                <w:t>red</w:t>
              </w:r>
              <w:r w:rsidR="001060F0" w:rsidRPr="00772443">
                <w:rPr>
                  <w:rStyle w:val="Hyperlink"/>
                  <w:sz w:val="24"/>
                  <w:lang w:val="es-NI" w:bidi="es-ES"/>
                </w:rPr>
                <w:t>e</w:t>
              </w:r>
              <w:r w:rsidR="001060F0" w:rsidRPr="00772443">
                <w:rPr>
                  <w:rStyle w:val="Hyperlink"/>
                  <w:sz w:val="24"/>
                  <w:lang w:val="es-NI" w:bidi="es-ES"/>
                </w:rPr>
                <w:t>s</w:t>
              </w:r>
            </w:hyperlink>
            <w:r w:rsidR="001060F0" w:rsidRPr="00772443">
              <w:rPr>
                <w:sz w:val="24"/>
                <w:lang w:val="es-NI" w:bidi="es-ES"/>
              </w:rPr>
              <w:t xml:space="preserve"> y organizaciones de desarrollo de la capacidad y conocimientos centradas en el agua.</w:t>
            </w:r>
          </w:p>
        </w:tc>
      </w:tr>
      <w:tr w:rsidR="001060F0" w:rsidRPr="00772443" w14:paraId="6E8382D1"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1B72A65C" w14:textId="77777777" w:rsidR="001060F0" w:rsidRPr="00772443" w:rsidRDefault="001060F0" w:rsidP="00B7315A">
            <w:pPr>
              <w:pStyle w:val="Body"/>
              <w:rPr>
                <w:sz w:val="24"/>
                <w:lang w:val="es-NI"/>
              </w:rPr>
            </w:pPr>
            <w:r w:rsidRPr="00772443">
              <w:rPr>
                <w:sz w:val="24"/>
                <w:lang w:val="es-NI" w:bidi="es-ES"/>
              </w:rPr>
              <w:t>Actores financieros, como comisiones presupuestarias nacionales y ministerios de finanzas</w:t>
            </w:r>
          </w:p>
        </w:tc>
        <w:tc>
          <w:tcPr>
            <w:tcW w:w="6815" w:type="dxa"/>
          </w:tcPr>
          <w:p w14:paraId="1864CFC5"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Representantes de organismos gubernamentales encargados de asignar financiación para la gestión de los recursos hídricos, incluidos los ministerios de finanzas y los bancos centrales, entre otros.</w:t>
            </w:r>
          </w:p>
        </w:tc>
      </w:tr>
      <w:tr w:rsidR="001060F0" w:rsidRPr="00772443" w14:paraId="26DCED33"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463E8C5A" w14:textId="77777777" w:rsidR="001060F0" w:rsidRPr="00772443" w:rsidRDefault="001060F0" w:rsidP="00B7315A">
            <w:pPr>
              <w:pStyle w:val="Body"/>
              <w:rPr>
                <w:sz w:val="24"/>
                <w:lang w:val="es-NI"/>
              </w:rPr>
            </w:pPr>
            <w:r w:rsidRPr="00772443">
              <w:rPr>
                <w:sz w:val="24"/>
                <w:lang w:val="es-NI" w:bidi="es-ES"/>
              </w:rPr>
              <w:t>Sectores empresarial e industrial</w:t>
            </w:r>
          </w:p>
        </w:tc>
        <w:tc>
          <w:tcPr>
            <w:tcW w:w="6815" w:type="dxa"/>
          </w:tcPr>
          <w:p w14:paraId="689B3F6B"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Empresas con un interés particular en aspectos ambientales, sociales y económicos (de los sectores de las bebidas, la alimentación, la minería, la energía, el papel, los productos de consumo, el turismo y otros sectores conexos, como los servicios de abastecimiento de agua). Es de particular importancia recabar sus aportaciones en relación con la pregunta 2.1d, sobre la participación del sector privado.</w:t>
            </w:r>
          </w:p>
        </w:tc>
      </w:tr>
      <w:tr w:rsidR="001060F0" w:rsidRPr="00772443" w14:paraId="5A0E6303"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048484A3" w14:textId="77777777" w:rsidR="001060F0" w:rsidRPr="00772443" w:rsidRDefault="001060F0" w:rsidP="00B7315A">
            <w:pPr>
              <w:pStyle w:val="Body"/>
              <w:rPr>
                <w:sz w:val="24"/>
                <w:lang w:val="es-NI"/>
              </w:rPr>
            </w:pPr>
            <w:r w:rsidRPr="00772443">
              <w:rPr>
                <w:sz w:val="24"/>
                <w:lang w:val="es-NI" w:bidi="es-ES"/>
              </w:rPr>
              <w:t>Coordinadores nacionales del ODS 6 y de otras metas e indicadores de los ODS relacionados con el agua</w:t>
            </w:r>
          </w:p>
        </w:tc>
        <w:tc>
          <w:tcPr>
            <w:tcW w:w="6815" w:type="dxa"/>
          </w:tcPr>
          <w:p w14:paraId="6AE12326" w14:textId="4D28787E"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Los funcionarios gubernamentales nombrados coordinadores de cada una de las metas e indicadores de los ODS relacionados con el agua, incluidos los del ODS 6, pero sin limitarse a ellos. Los datos de contacto de los coordinadores de los indicadores del ODS 6, así como del coordinador “general” del ODS 6, pueden solicitarse al Servicio de Asistencia para el indicador 6.5.1 de los ODS (</w:t>
            </w:r>
            <w:hyperlink r:id="rId22" w:history="1">
              <w:r w:rsidRPr="00772443">
                <w:rPr>
                  <w:rStyle w:val="Hyperlink"/>
                  <w:sz w:val="24"/>
                  <w:lang w:val="es-NI" w:bidi="es-ES"/>
                </w:rPr>
                <w:t>iwrmsdg651@un.org</w:t>
              </w:r>
            </w:hyperlink>
            <w:r w:rsidRPr="00772443">
              <w:rPr>
                <w:sz w:val="24"/>
                <w:lang w:val="es-NI" w:bidi="es-ES"/>
              </w:rPr>
              <w:t>). El anexo 3 de la “</w:t>
            </w:r>
            <w:hyperlink r:id="rId23" w:history="1">
              <w:r w:rsidRPr="00772443">
                <w:rPr>
                  <w:rStyle w:val="Hyperlink"/>
                  <w:sz w:val="24"/>
                  <w:lang w:val="es-NI" w:bidi="es-ES"/>
                </w:rPr>
                <w:t>Guía para el monitoreo del indicador 6.5.1 de los ODS</w:t>
              </w:r>
            </w:hyperlink>
            <w:r w:rsidRPr="00772443">
              <w:rPr>
                <w:sz w:val="24"/>
                <w:lang w:val="es-NI" w:bidi="es-ES"/>
              </w:rPr>
              <w:t>” contiene una lista de los coordinadores de indicadores que son especialmente pertinentes para distintas preguntas de la encuesta. El Mecanismo Interinstitucional de las Naciones Unidas sobre Todas las Cuestiones Relacionadas con el Agua Dulce, Incluido el Saneamiento (ONU-Agua) coordina la presentación de informes sobre todos los indicadores del ODS 6 por medio de la Iniciativa para el Monitoreo Integrado del ODS 6 (</w:t>
            </w:r>
            <w:hyperlink r:id="rId24" w:history="1">
              <w:r w:rsidRPr="00772443">
                <w:rPr>
                  <w:rStyle w:val="Hyperlink"/>
                  <w:sz w:val="24"/>
                  <w:lang w:val="es-NI" w:bidi="es-ES"/>
                </w:rPr>
                <w:t>IMI-SDG6</w:t>
              </w:r>
            </w:hyperlink>
            <w:r w:rsidRPr="00772443">
              <w:rPr>
                <w:sz w:val="24"/>
                <w:lang w:val="es-NI" w:bidi="es-ES"/>
              </w:rPr>
              <w:t xml:space="preserve">). Entre otras metas e indicadores pertinentes </w:t>
            </w:r>
            <w:hyperlink r:id="rId25" w:history="1">
              <w:r w:rsidRPr="00772443">
                <w:rPr>
                  <w:rStyle w:val="Hyperlink"/>
                  <w:sz w:val="24"/>
                  <w:lang w:val="es-NI" w:bidi="es-ES"/>
                </w:rPr>
                <w:t>vinculados</w:t>
              </w:r>
            </w:hyperlink>
            <w:r w:rsidRPr="00772443">
              <w:rPr>
                <w:sz w:val="24"/>
                <w:lang w:val="es-NI" w:bidi="es-ES"/>
              </w:rPr>
              <w:t xml:space="preserve"> con este indicador cabe mencionar, por ejemplo, la meta 5.5 (género) y la meta 11.5 (desastres, incluidos los relacionados con el agua). Los datos de contacto de otros coordinadores nacionales </w:t>
            </w:r>
            <w:r w:rsidRPr="00772443">
              <w:rPr>
                <w:sz w:val="24"/>
                <w:lang w:val="es-NI" w:bidi="es-ES"/>
              </w:rPr>
              <w:lastRenderedPageBreak/>
              <w:t xml:space="preserve">deberían estar disponibles a través de canales gubernamentales oficiales o por medio de los </w:t>
            </w:r>
            <w:hyperlink r:id="rId26" w:history="1">
              <w:r w:rsidRPr="00772443">
                <w:rPr>
                  <w:rStyle w:val="Hyperlink"/>
                  <w:sz w:val="24"/>
                  <w:lang w:val="es-NI" w:bidi="es-ES"/>
                </w:rPr>
                <w:t>coordinadores mundiales</w:t>
              </w:r>
            </w:hyperlink>
            <w:r w:rsidRPr="00772443">
              <w:rPr>
                <w:sz w:val="24"/>
                <w:lang w:val="es-NI" w:bidi="es-ES"/>
              </w:rPr>
              <w:t>.</w:t>
            </w:r>
          </w:p>
        </w:tc>
      </w:tr>
      <w:tr w:rsidR="001060F0" w:rsidRPr="00772443" w14:paraId="65923275"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74F94DD1" w14:textId="77777777" w:rsidR="001060F0" w:rsidRPr="00772443" w:rsidRDefault="001060F0" w:rsidP="00B7315A">
            <w:pPr>
              <w:pStyle w:val="Body"/>
              <w:rPr>
                <w:sz w:val="24"/>
                <w:lang w:val="es-NI"/>
              </w:rPr>
            </w:pPr>
            <w:r w:rsidRPr="00772443">
              <w:rPr>
                <w:sz w:val="24"/>
                <w:lang w:val="es-NI" w:bidi="es-ES"/>
              </w:rPr>
              <w:lastRenderedPageBreak/>
              <w:t>Grupos de promoción de la igualdad de género</w:t>
            </w:r>
          </w:p>
        </w:tc>
        <w:tc>
          <w:tcPr>
            <w:tcW w:w="6815" w:type="dxa"/>
          </w:tcPr>
          <w:p w14:paraId="1B2B4210"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La localización de organizaciones dedicadas a las cuestiones de género, y la colaboración con ellas, puede suponer que las oportunidades y los beneficios de las intervenciones relacionadas con el agua lleguen de manera equitativa a personas de todos los géneros. Este aspecto debería tenerse en cuenta en relación con todas las preguntas, si bien resulta esencial para la pregunta 2.2d. También pueden tomarse en consideración los coordinadores de las metas del ODS 5.</w:t>
            </w:r>
          </w:p>
        </w:tc>
      </w:tr>
      <w:tr w:rsidR="001060F0" w:rsidRPr="00772443" w14:paraId="2B19C066"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34A699C2" w14:textId="77777777" w:rsidR="001060F0" w:rsidRPr="00772443" w:rsidRDefault="001060F0" w:rsidP="00B7315A">
            <w:pPr>
              <w:pStyle w:val="Body"/>
              <w:rPr>
                <w:sz w:val="24"/>
                <w:lang w:val="es-NI"/>
              </w:rPr>
            </w:pPr>
            <w:r w:rsidRPr="00772443">
              <w:rPr>
                <w:sz w:val="24"/>
                <w:lang w:val="es-NI" w:bidi="es-ES"/>
              </w:rPr>
              <w:t>Grupos vulnerables, incluidos los pueblos indígenas</w:t>
            </w:r>
          </w:p>
        </w:tc>
        <w:tc>
          <w:tcPr>
            <w:tcW w:w="6815" w:type="dxa"/>
          </w:tcPr>
          <w:p w14:paraId="7665667D"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Representantes de instituciones y grupos organizados que defiendan los derechos, intereses y puntos de vista de los grupos vulnerables, según su definición en la encuesta sobre el indicador 6.5.1. Es de especial importancia escuchar la opinión de los pueblos indígenas y recabar sus puntos de vista en relación con la pregunta 2.2c, sobre grupos vulnerables, entre otras. Cabe señalar que es posible que las consultas deban adaptarse a otros idiomas distintos al predominante a nivel nacional.</w:t>
            </w:r>
          </w:p>
        </w:tc>
      </w:tr>
      <w:tr w:rsidR="001060F0" w:rsidRPr="00772443" w14:paraId="45ED4ABA" w14:textId="77777777" w:rsidTr="44D2D68A">
        <w:trPr>
          <w:trHeight w:val="300"/>
        </w:trPr>
        <w:tc>
          <w:tcPr>
            <w:cnfStyle w:val="001000000000" w:firstRow="0" w:lastRow="0" w:firstColumn="1" w:lastColumn="0" w:oddVBand="0" w:evenVBand="0" w:oddHBand="0" w:evenHBand="0" w:firstRowFirstColumn="0" w:firstRowLastColumn="0" w:lastRowFirstColumn="0" w:lastRowLastColumn="0"/>
            <w:tcW w:w="2201" w:type="dxa"/>
          </w:tcPr>
          <w:p w14:paraId="15F6CD9E" w14:textId="77777777" w:rsidR="001060F0" w:rsidRPr="00772443" w:rsidRDefault="001060F0" w:rsidP="00B7315A">
            <w:pPr>
              <w:pStyle w:val="Body"/>
              <w:rPr>
                <w:sz w:val="24"/>
                <w:lang w:val="es-NI"/>
              </w:rPr>
            </w:pPr>
            <w:r w:rsidRPr="00772443">
              <w:rPr>
                <w:sz w:val="24"/>
                <w:lang w:val="es-NI" w:bidi="es-ES"/>
              </w:rPr>
              <w:t>Jóvenes</w:t>
            </w:r>
          </w:p>
        </w:tc>
        <w:tc>
          <w:tcPr>
            <w:tcW w:w="6815" w:type="dxa"/>
          </w:tcPr>
          <w:p w14:paraId="383AE198" w14:textId="77777777" w:rsidR="001060F0" w:rsidRPr="00772443" w:rsidRDefault="001060F0" w:rsidP="001060F0">
            <w:pPr>
              <w:pStyle w:val="Body"/>
              <w:cnfStyle w:val="000000000000" w:firstRow="0" w:lastRow="0" w:firstColumn="0" w:lastColumn="0" w:oddVBand="0" w:evenVBand="0" w:oddHBand="0" w:evenHBand="0" w:firstRowFirstColumn="0" w:firstRowLastColumn="0" w:lastRowFirstColumn="0" w:lastRowLastColumn="0"/>
              <w:rPr>
                <w:sz w:val="24"/>
                <w:lang w:val="es-NI"/>
              </w:rPr>
            </w:pPr>
            <w:r w:rsidRPr="00772443">
              <w:rPr>
                <w:sz w:val="24"/>
                <w:lang w:val="es-NI" w:bidi="es-ES"/>
              </w:rPr>
              <w:t>Las organizaciones juveniles que ya se dedican a las cuestiones relativas al agua o al desarrollo sostenible puede ser un buen punto de partida para determinar los participantes que están en mejores condiciones para ayudar a monitorear el indicador 6.5.1 de los ODS. También se podría invitar a representantes jóvenes de otros grupos de partes interesadas mencionados más arriba.</w:t>
            </w:r>
          </w:p>
        </w:tc>
      </w:tr>
    </w:tbl>
    <w:p w14:paraId="674D7577" w14:textId="225756D3" w:rsidR="002A0CCF" w:rsidRPr="00772443" w:rsidRDefault="001060F0" w:rsidP="002A0CCF">
      <w:pPr>
        <w:spacing w:before="120"/>
        <w:jc w:val="both"/>
        <w:rPr>
          <w:rFonts w:eastAsiaTheme="minorEastAsia"/>
          <w:i/>
          <w:iCs/>
          <w:color w:val="12354E" w:themeColor="accent1" w:themeShade="BF"/>
          <w:sz w:val="20"/>
          <w:szCs w:val="20"/>
          <w:lang w:val="es-NI"/>
        </w:rPr>
      </w:pPr>
      <w:r w:rsidRPr="00772443">
        <w:rPr>
          <w:rFonts w:eastAsiaTheme="minorEastAsia"/>
          <w:i/>
          <w:iCs/>
          <w:color w:val="12354E" w:themeColor="accent1" w:themeShade="BF"/>
          <w:sz w:val="20"/>
          <w:szCs w:val="20"/>
          <w:lang w:val="es-NI" w:bidi="es-ES"/>
        </w:rPr>
        <w:t>Tabla 1. Recomendación de los grupos de partes interesadas que podrían participar en el proceso de consulta</w:t>
      </w:r>
    </w:p>
    <w:p w14:paraId="1FE9995B" w14:textId="5CBB8DD0" w:rsidR="002D1210" w:rsidRPr="00772443" w:rsidRDefault="002D1210" w:rsidP="002D1210">
      <w:pPr>
        <w:pStyle w:val="Body"/>
        <w:jc w:val="both"/>
        <w:rPr>
          <w:rFonts w:cstheme="minorHAnsi"/>
          <w:lang w:val="es-NI"/>
        </w:rPr>
      </w:pPr>
    </w:p>
    <w:p w14:paraId="4094951A" w14:textId="1CA7B59F" w:rsidR="004646E9" w:rsidRPr="00772443" w:rsidRDefault="00970943" w:rsidP="00FA42CA">
      <w:pPr>
        <w:pStyle w:val="Heading1"/>
        <w:numPr>
          <w:ilvl w:val="0"/>
          <w:numId w:val="2"/>
        </w:numPr>
        <w:jc w:val="both"/>
        <w:rPr>
          <w:lang w:val="es-NI"/>
        </w:rPr>
      </w:pPr>
      <w:r w:rsidRPr="00772443">
        <w:rPr>
          <w:lang w:val="es-NI"/>
        </w:rPr>
        <w:t xml:space="preserve"> </w:t>
      </w:r>
      <w:r w:rsidR="001060F0" w:rsidRPr="00772443">
        <w:rPr>
          <w:lang w:val="es-NI" w:bidi="es-ES"/>
        </w:rPr>
        <w:t>Propuesta de proceso para las consultas</w:t>
      </w:r>
    </w:p>
    <w:p w14:paraId="0CD397DD" w14:textId="77777777" w:rsidR="008E2EB5" w:rsidRPr="00772443"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s-NI"/>
        </w:rPr>
      </w:pPr>
    </w:p>
    <w:p w14:paraId="3B09B426" w14:textId="77777777" w:rsidR="008E2EB5" w:rsidRPr="00772443"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s-NI"/>
        </w:rPr>
      </w:pPr>
    </w:p>
    <w:p w14:paraId="007F7035" w14:textId="77777777" w:rsidR="008E2EB5" w:rsidRPr="00772443"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s-NI"/>
        </w:rPr>
      </w:pPr>
    </w:p>
    <w:p w14:paraId="3BFC1C48" w14:textId="77777777" w:rsidR="001060F0" w:rsidRPr="00772443" w:rsidRDefault="001060F0" w:rsidP="001060F0">
      <w:pPr>
        <w:pStyle w:val="ListParagraph"/>
        <w:numPr>
          <w:ilvl w:val="0"/>
          <w:numId w:val="0"/>
        </w:numPr>
        <w:spacing w:after="120"/>
        <w:jc w:val="both"/>
        <w:rPr>
          <w:rFonts w:cstheme="minorHAnsi"/>
          <w:color w:val="EC531E" w:themeColor="accent6" w:themeShade="BF"/>
          <w:lang w:val="es-NI"/>
        </w:rPr>
      </w:pPr>
      <w:r w:rsidRPr="00772443">
        <w:rPr>
          <w:rFonts w:cstheme="minorHAnsi"/>
          <w:lang w:val="es-NI" w:bidi="es-ES"/>
        </w:rPr>
        <w:t xml:space="preserve">Si bien es competencia del coordinador del indicador 6.5.1 de los ODS y sus equipos definir la forma y la medida en que las partes interesadas participarán en los procesos de consulta a nivel nacional, en esta sección se ofrecen algunas propuestas sobre el modo en que podrían organizarse tales procesos. </w:t>
      </w:r>
      <w:r w:rsidRPr="00772443">
        <w:rPr>
          <w:rFonts w:cstheme="minorHAnsi"/>
          <w:b/>
          <w:color w:val="EC531E" w:themeColor="accent6" w:themeShade="BF"/>
          <w:lang w:val="es-NI" w:bidi="es-ES"/>
        </w:rPr>
        <w:t xml:space="preserve">Las frases en rojo son pertinentes para los países a los que el Programa de Apoyo para la GIRH del ODS 6 presta asistencia directamente en lo relativo al proceso de presentación de informes sobre el indicador 6.5.1 de los ODS. </w:t>
      </w:r>
    </w:p>
    <w:p w14:paraId="00FBBCEB" w14:textId="51D5D863" w:rsidR="000E5AD0" w:rsidRPr="00772443" w:rsidRDefault="001060F0" w:rsidP="001060F0">
      <w:pPr>
        <w:pStyle w:val="Body"/>
        <w:jc w:val="both"/>
        <w:rPr>
          <w:lang w:val="es-NI"/>
        </w:rPr>
      </w:pPr>
      <w:r w:rsidRPr="00772443">
        <w:rPr>
          <w:rFonts w:cstheme="minorHAnsi"/>
          <w:lang w:val="es-NI" w:bidi="es-ES"/>
        </w:rPr>
        <w:t>De manera general, el proceso se puede dividir en las cuatro fases que se indican a continuación</w:t>
      </w:r>
      <w:r w:rsidR="008B4AB1" w:rsidRPr="00772443">
        <w:rPr>
          <w:lang w:val="es-NI"/>
        </w:rPr>
        <w:t>.</w:t>
      </w:r>
    </w:p>
    <w:p w14:paraId="548B4322" w14:textId="470565CF" w:rsidR="000E5AD0" w:rsidRPr="00772443" w:rsidRDefault="00357599" w:rsidP="000E5AD0">
      <w:pPr>
        <w:pStyle w:val="Body"/>
        <w:jc w:val="both"/>
        <w:rPr>
          <w:lang w:val="es-NI"/>
        </w:rPr>
      </w:pPr>
      <w:r w:rsidRPr="00772443">
        <w:rPr>
          <w:noProof/>
          <w:lang w:val="es-NI"/>
        </w:rPr>
        <w:lastRenderedPageBreak/>
        <w:drawing>
          <wp:inline distT="0" distB="0" distL="0" distR="0" wp14:anchorId="351F8B65" wp14:editId="4DE20087">
            <wp:extent cx="5699125" cy="1076325"/>
            <wp:effectExtent l="57150" t="0" r="5397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E084FF6" w14:textId="7DCF8DE9" w:rsidR="00357599" w:rsidRPr="00772443" w:rsidRDefault="001060F0" w:rsidP="00357599">
      <w:pPr>
        <w:spacing w:before="120"/>
        <w:jc w:val="both"/>
        <w:rPr>
          <w:rFonts w:eastAsiaTheme="minorEastAsia"/>
          <w:i/>
          <w:iCs/>
          <w:color w:val="12354E" w:themeColor="accent1" w:themeShade="BF"/>
          <w:sz w:val="20"/>
          <w:szCs w:val="20"/>
          <w:lang w:val="es-NI"/>
        </w:rPr>
      </w:pPr>
      <w:r w:rsidRPr="00772443">
        <w:rPr>
          <w:rFonts w:eastAsiaTheme="minorEastAsia"/>
          <w:i/>
          <w:iCs/>
          <w:color w:val="12354E" w:themeColor="accent1" w:themeShade="BF"/>
          <w:sz w:val="20"/>
          <w:szCs w:val="20"/>
          <w:lang w:val="es-NI" w:bidi="es-ES"/>
        </w:rPr>
        <w:t xml:space="preserve">Gráfico </w:t>
      </w:r>
      <w:r w:rsidRPr="00772443">
        <w:rPr>
          <w:rFonts w:eastAsiaTheme="minorEastAsia"/>
          <w:i/>
          <w:iCs/>
          <w:color w:val="12354E" w:themeColor="accent1" w:themeShade="BF"/>
          <w:sz w:val="20"/>
          <w:szCs w:val="20"/>
          <w:lang w:val="es-NI" w:bidi="es-ES"/>
        </w:rPr>
        <w:fldChar w:fldCharType="begin"/>
      </w:r>
      <w:r w:rsidRPr="00772443">
        <w:rPr>
          <w:rFonts w:eastAsiaTheme="minorEastAsia"/>
          <w:i/>
          <w:iCs/>
          <w:color w:val="12354E" w:themeColor="accent1" w:themeShade="BF"/>
          <w:sz w:val="20"/>
          <w:szCs w:val="20"/>
          <w:lang w:val="es-NI" w:bidi="es-ES"/>
        </w:rPr>
        <w:instrText xml:space="preserve"> SEQ Figure \* ARABIC </w:instrText>
      </w:r>
      <w:r w:rsidRPr="00772443">
        <w:rPr>
          <w:rFonts w:eastAsiaTheme="minorEastAsia"/>
          <w:i/>
          <w:iCs/>
          <w:color w:val="12354E" w:themeColor="accent1" w:themeShade="BF"/>
          <w:sz w:val="20"/>
          <w:szCs w:val="20"/>
          <w:lang w:val="es-NI" w:bidi="es-ES"/>
        </w:rPr>
        <w:fldChar w:fldCharType="separate"/>
      </w:r>
      <w:r w:rsidRPr="00772443">
        <w:rPr>
          <w:rFonts w:eastAsiaTheme="minorEastAsia"/>
          <w:i/>
          <w:iCs/>
          <w:color w:val="12354E" w:themeColor="accent1" w:themeShade="BF"/>
          <w:sz w:val="20"/>
          <w:szCs w:val="20"/>
          <w:lang w:val="es-NI" w:bidi="es-ES"/>
        </w:rPr>
        <w:t>1</w:t>
      </w:r>
      <w:r w:rsidRPr="00772443">
        <w:rPr>
          <w:rFonts w:eastAsiaTheme="minorEastAsia"/>
          <w:i/>
          <w:iCs/>
          <w:color w:val="12354E" w:themeColor="accent1" w:themeShade="BF"/>
          <w:sz w:val="20"/>
          <w:szCs w:val="20"/>
          <w:lang w:val="es-NI"/>
        </w:rPr>
        <w:fldChar w:fldCharType="end"/>
      </w:r>
      <w:r w:rsidRPr="00772443">
        <w:rPr>
          <w:rFonts w:eastAsiaTheme="minorEastAsia"/>
          <w:i/>
          <w:iCs/>
          <w:color w:val="12354E" w:themeColor="accent1" w:themeShade="BF"/>
          <w:sz w:val="20"/>
          <w:szCs w:val="20"/>
          <w:lang w:val="es-NI" w:bidi="es-ES"/>
        </w:rPr>
        <w:t>. Visión general de las cuatro fases de un proceso de consulta nacional con las partes interesadas sobre el indicador 6.5.1 de los ODS</w:t>
      </w:r>
    </w:p>
    <w:p w14:paraId="007BFB5C" w14:textId="77777777" w:rsidR="00357599" w:rsidRPr="00772443" w:rsidRDefault="00357599" w:rsidP="000E5AD0">
      <w:pPr>
        <w:pStyle w:val="Body"/>
        <w:jc w:val="both"/>
        <w:rPr>
          <w:lang w:val="es-NI"/>
        </w:rPr>
      </w:pPr>
    </w:p>
    <w:p w14:paraId="713C120F" w14:textId="226276DE" w:rsidR="00357599" w:rsidRPr="00772443" w:rsidRDefault="001060F0" w:rsidP="00FA42CA">
      <w:pPr>
        <w:pStyle w:val="Body"/>
        <w:numPr>
          <w:ilvl w:val="1"/>
          <w:numId w:val="3"/>
        </w:numPr>
        <w:jc w:val="both"/>
        <w:rPr>
          <w:b/>
          <w:bCs/>
          <w:color w:val="20A6CA" w:themeColor="accent2"/>
          <w:sz w:val="36"/>
          <w:szCs w:val="36"/>
          <w:lang w:val="es-NI"/>
        </w:rPr>
      </w:pPr>
      <w:r w:rsidRPr="00772443">
        <w:rPr>
          <w:b/>
          <w:bCs/>
          <w:color w:val="20A6CA" w:themeColor="accent2"/>
          <w:sz w:val="36"/>
          <w:szCs w:val="36"/>
          <w:lang w:val="es-NI" w:bidi="es-ES"/>
        </w:rPr>
        <w:t>Preparación</w:t>
      </w:r>
    </w:p>
    <w:p w14:paraId="684E33C5" w14:textId="6DE33BC3" w:rsidR="001060F0" w:rsidRPr="00772443" w:rsidRDefault="001060F0" w:rsidP="001060F0">
      <w:pPr>
        <w:spacing w:after="120"/>
        <w:jc w:val="both"/>
        <w:rPr>
          <w:rFonts w:cstheme="minorHAnsi"/>
          <w:color w:val="12354E" w:themeColor="accent1" w:themeShade="BF"/>
          <w:lang w:val="es-NI"/>
        </w:rPr>
      </w:pPr>
      <w:r w:rsidRPr="00772443">
        <w:rPr>
          <w:rFonts w:cstheme="minorHAnsi"/>
          <w:color w:val="12354E" w:themeColor="accent1" w:themeShade="BF"/>
          <w:lang w:val="es-NI" w:bidi="es-ES"/>
        </w:rPr>
        <w:t xml:space="preserve">La </w:t>
      </w:r>
      <w:r w:rsidRPr="00772443">
        <w:rPr>
          <w:rFonts w:cstheme="minorHAnsi"/>
          <w:i/>
          <w:color w:val="12354E" w:themeColor="accent1" w:themeShade="BF"/>
          <w:lang w:val="es-NI" w:bidi="es-ES"/>
        </w:rPr>
        <w:t>fase de preparación</w:t>
      </w:r>
      <w:r w:rsidRPr="00772443">
        <w:rPr>
          <w:rFonts w:cstheme="minorHAnsi"/>
          <w:color w:val="12354E" w:themeColor="accent1" w:themeShade="BF"/>
          <w:lang w:val="es-NI" w:bidi="es-ES"/>
        </w:rPr>
        <w:t xml:space="preserve"> debería comenzar por </w:t>
      </w:r>
      <w:r w:rsidRPr="00772443">
        <w:rPr>
          <w:rFonts w:cstheme="minorHAnsi"/>
          <w:b/>
          <w:color w:val="12354E" w:themeColor="accent1" w:themeShade="BF"/>
          <w:lang w:val="es-NI" w:bidi="es-ES"/>
        </w:rPr>
        <w:t>aclarar quién se encargará de organizar y dirigir la consulta con las partes interesadas</w:t>
      </w:r>
      <w:r w:rsidRPr="00772443">
        <w:rPr>
          <w:rFonts w:cstheme="minorHAnsi"/>
          <w:color w:val="12354E" w:themeColor="accent1" w:themeShade="BF"/>
          <w:lang w:val="es-NI" w:bidi="es-ES"/>
        </w:rPr>
        <w:t xml:space="preserve">. Por ejemplo, se podría encargar directamente el coordinador o un pequeño grupo designado por este, o se podría </w:t>
      </w:r>
      <w:r w:rsidRPr="00772443">
        <w:rPr>
          <w:rFonts w:cstheme="minorHAnsi"/>
          <w:b/>
          <w:color w:val="12354E" w:themeColor="accent1" w:themeShade="BF"/>
          <w:lang w:val="es-NI" w:bidi="es-ES"/>
        </w:rPr>
        <w:t>localizar o contratar a un facilitador especial</w:t>
      </w:r>
      <w:r w:rsidRPr="00772443">
        <w:rPr>
          <w:rFonts w:cstheme="minorHAnsi"/>
          <w:color w:val="12354E" w:themeColor="accent1" w:themeShade="BF"/>
          <w:lang w:val="es-NI" w:bidi="es-ES"/>
        </w:rPr>
        <w:t xml:space="preserve"> que conozca en profundidad la GIRH y el contexto del desarrollo en general y que esté vinculado con las distintas partes interesadas. </w:t>
      </w:r>
      <w:r w:rsidRPr="00772443">
        <w:rPr>
          <w:rFonts w:cstheme="minorHAnsi"/>
          <w:color w:val="EC531E" w:themeColor="accent6" w:themeShade="BF"/>
          <w:lang w:val="es-NI" w:bidi="es-ES"/>
        </w:rPr>
        <w:t xml:space="preserve">En el caso de los países asistidos directamente por el Programa de Apoyo para la GIRH del ODS 6, es muy recomendable contratar un facilitador especializado y con experiencia. </w:t>
      </w:r>
      <w:r w:rsidRPr="00772443">
        <w:rPr>
          <w:rFonts w:cstheme="minorHAnsi"/>
          <w:color w:val="12354E" w:themeColor="accent1" w:themeShade="BF"/>
          <w:lang w:val="es-NI" w:bidi="es-ES"/>
        </w:rPr>
        <w:t xml:space="preserve">El facilitador debería prestar apoyo al coordinador del indicador 6.5.1 en lo relativo a la preparación y aplicación del proceso de consulta con las partes interesadas. En el </w:t>
      </w:r>
      <w:hyperlink r:id="rId32" w:history="1">
        <w:r w:rsidRPr="00772443">
          <w:rPr>
            <w:rStyle w:val="Hyperlink"/>
            <w:rFonts w:cstheme="minorHAnsi"/>
            <w:i/>
            <w:lang w:val="es-NI" w:bidi="es-ES"/>
          </w:rPr>
          <w:t>anexo 4</w:t>
        </w:r>
      </w:hyperlink>
      <w:r w:rsidRPr="00772443">
        <w:rPr>
          <w:rFonts w:cstheme="minorHAnsi"/>
          <w:color w:val="12354E" w:themeColor="accent1" w:themeShade="BF"/>
          <w:lang w:val="es-NI" w:bidi="es-ES"/>
        </w:rPr>
        <w:t xml:space="preserve"> se ofrece una visión general más detallada de las tareas que se propone encomendar al facilitador. </w:t>
      </w:r>
    </w:p>
    <w:p w14:paraId="1B24FC83" w14:textId="565D5007" w:rsidR="001060F0" w:rsidRPr="00772443" w:rsidRDefault="001060F0" w:rsidP="001060F0">
      <w:pPr>
        <w:spacing w:after="120"/>
        <w:jc w:val="both"/>
        <w:rPr>
          <w:rFonts w:cstheme="minorHAnsi"/>
          <w:color w:val="12354E" w:themeColor="accent1" w:themeShade="BF"/>
          <w:lang w:val="es-NI"/>
        </w:rPr>
      </w:pPr>
      <w:r w:rsidRPr="00772443">
        <w:rPr>
          <w:rFonts w:cstheme="minorHAnsi"/>
          <w:color w:val="12354E" w:themeColor="accent1" w:themeShade="BF"/>
          <w:lang w:val="es-NI" w:bidi="es-ES"/>
        </w:rPr>
        <w:t xml:space="preserve">Se recomienda que los facilitadores y los coordinadores del indicador 6.5.1 de los ODS realicen el </w:t>
      </w:r>
      <w:hyperlink r:id="rId33" w:history="1">
        <w:r w:rsidRPr="00772443">
          <w:rPr>
            <w:rStyle w:val="Hyperlink"/>
            <w:rFonts w:cstheme="minorHAnsi"/>
            <w:lang w:val="es-NI" w:bidi="es-ES"/>
          </w:rPr>
          <w:t>curso de entrenamiento para facilitadores del ODS 6.5.1</w:t>
        </w:r>
      </w:hyperlink>
      <w:r w:rsidRPr="00772443">
        <w:rPr>
          <w:rFonts w:cstheme="minorHAnsi"/>
          <w:color w:val="12354E" w:themeColor="accent1" w:themeShade="BF"/>
          <w:lang w:val="es-NI" w:bidi="es-ES"/>
        </w:rPr>
        <w:t xml:space="preserve">, que es en línea y está adaptado al ritmo del estudiante. </w:t>
      </w:r>
      <w:r w:rsidRPr="00772443">
        <w:rPr>
          <w:rFonts w:cstheme="minorHAnsi"/>
          <w:color w:val="EC531E" w:themeColor="accent6" w:themeShade="BF"/>
          <w:lang w:val="es-NI" w:bidi="es-ES"/>
        </w:rPr>
        <w:t>Los facilitadores contratados en el marco del Programa de Apoyo para la GIRH del ODS 6 tienen la obligación de completar el curso.</w:t>
      </w:r>
      <w:r w:rsidRPr="00772443">
        <w:rPr>
          <w:rFonts w:cstheme="minorHAnsi"/>
          <w:color w:val="FF0000"/>
          <w:lang w:val="es-NI" w:bidi="es-ES"/>
        </w:rPr>
        <w:t xml:space="preserve"> </w:t>
      </w:r>
      <w:r w:rsidRPr="00772443">
        <w:rPr>
          <w:rFonts w:cstheme="minorHAnsi"/>
          <w:color w:val="12354E" w:themeColor="accent1" w:themeShade="BF"/>
          <w:lang w:val="es-NI" w:bidi="es-ES"/>
        </w:rPr>
        <w:t xml:space="preserve">Este ofrece una visión general del proceso de presentación de informes sobre el indicador 6.5.1 de los ODS, así como consejos y trucos para que la consulta con las partes interesadas sea provechosa. Está disponible en español, francés e inglés, es gratuito y está abierto a todas las personas interesadas en la presentación de información sobre el indicador 6.5.1 de los ODS. </w:t>
      </w:r>
    </w:p>
    <w:p w14:paraId="74F7EF4D" w14:textId="77777777" w:rsidR="001060F0" w:rsidRPr="00772443" w:rsidRDefault="001060F0" w:rsidP="001060F0">
      <w:pPr>
        <w:spacing w:after="120"/>
        <w:jc w:val="both"/>
        <w:rPr>
          <w:rFonts w:cstheme="minorHAnsi"/>
          <w:color w:val="12354E" w:themeColor="accent1" w:themeShade="BF"/>
          <w:lang w:val="es-NI"/>
        </w:rPr>
      </w:pPr>
      <w:r w:rsidRPr="00772443">
        <w:rPr>
          <w:rFonts w:cstheme="minorHAnsi"/>
          <w:color w:val="12354E" w:themeColor="accent1" w:themeShade="BF"/>
          <w:lang w:val="es-NI" w:bidi="es-ES"/>
        </w:rPr>
        <w:t xml:space="preserve">Además, el facilitador o el coordinador debería </w:t>
      </w:r>
      <w:r w:rsidRPr="00772443">
        <w:rPr>
          <w:rFonts w:cstheme="minorHAnsi"/>
          <w:b/>
          <w:color w:val="12354E" w:themeColor="accent1" w:themeShade="BF"/>
          <w:lang w:val="es-NI" w:bidi="es-ES"/>
        </w:rPr>
        <w:t>recopilar y revisar la información pertinente</w:t>
      </w:r>
      <w:r w:rsidRPr="00772443">
        <w:rPr>
          <w:rFonts w:cstheme="minorHAnsi"/>
          <w:color w:val="12354E" w:themeColor="accent1" w:themeShade="BF"/>
          <w:lang w:val="es-NI" w:bidi="es-ES"/>
        </w:rPr>
        <w:t xml:space="preserve">, en particular la que se detalla a continuación: </w:t>
      </w:r>
    </w:p>
    <w:p w14:paraId="20193994" w14:textId="1EA09B33" w:rsidR="00772443" w:rsidRDefault="001060F0" w:rsidP="00772443">
      <w:pPr>
        <w:pStyle w:val="ListParagraph"/>
        <w:numPr>
          <w:ilvl w:val="0"/>
          <w:numId w:val="4"/>
        </w:numPr>
        <w:spacing w:after="120" w:line="259" w:lineRule="auto"/>
        <w:jc w:val="both"/>
        <w:rPr>
          <w:rFonts w:cstheme="minorHAnsi"/>
          <w:lang w:val="es-NI"/>
        </w:rPr>
      </w:pPr>
      <w:r w:rsidRPr="00772443">
        <w:rPr>
          <w:rFonts w:cstheme="minorHAnsi"/>
          <w:u w:val="single"/>
          <w:lang w:val="es-NI" w:bidi="es-ES"/>
        </w:rPr>
        <w:t>la última versión de la encuesta oficial sobre el indicador 6.5.1 de los ODS</w:t>
      </w:r>
      <w:r w:rsidRPr="00772443">
        <w:rPr>
          <w:rFonts w:cstheme="minorHAnsi"/>
          <w:lang w:val="es-NI" w:bidi="es-ES"/>
        </w:rPr>
        <w:t xml:space="preserve"> y la guía para el monitoreo, publicadas en el </w:t>
      </w:r>
      <w:hyperlink r:id="rId34" w:history="1">
        <w:r w:rsidRPr="00772443">
          <w:rPr>
            <w:rStyle w:val="Hyperlink"/>
            <w:rFonts w:cstheme="minorHAnsi"/>
            <w:lang w:val="es-NI" w:bidi="es-ES"/>
          </w:rPr>
          <w:t>portal de datos sobre la GIRH</w:t>
        </w:r>
      </w:hyperlink>
      <w:r w:rsidRPr="00772443">
        <w:rPr>
          <w:rFonts w:cstheme="minorHAnsi"/>
          <w:lang w:val="es-NI" w:bidi="es-ES"/>
        </w:rPr>
        <w:t xml:space="preserve">; </w:t>
      </w:r>
    </w:p>
    <w:p w14:paraId="468F6773" w14:textId="564B4169" w:rsidR="001060F0" w:rsidRPr="00772443" w:rsidRDefault="001060F0" w:rsidP="00772443">
      <w:pPr>
        <w:pStyle w:val="ListParagraph"/>
        <w:numPr>
          <w:ilvl w:val="0"/>
          <w:numId w:val="4"/>
        </w:numPr>
        <w:spacing w:after="120" w:line="259" w:lineRule="auto"/>
        <w:jc w:val="both"/>
        <w:rPr>
          <w:rStyle w:val="FootnoteReference"/>
          <w:rFonts w:cstheme="minorHAnsi"/>
          <w:vertAlign w:val="baseline"/>
          <w:lang w:val="es-NI"/>
        </w:rPr>
      </w:pPr>
      <w:r w:rsidRPr="00772443">
        <w:rPr>
          <w:rFonts w:cstheme="minorHAnsi"/>
          <w:u w:val="single"/>
          <w:lang w:val="es-NI" w:bidi="es-ES"/>
        </w:rPr>
        <w:t>las encuestas sobre el indicador presentadas previamente por el país</w:t>
      </w:r>
      <w:r w:rsidRPr="00772443">
        <w:rPr>
          <w:rFonts w:cstheme="minorHAnsi"/>
          <w:lang w:val="es-NI" w:bidi="es-ES"/>
        </w:rPr>
        <w:t xml:space="preserve"> (de los años 2017 y 2020), disponibles en el </w:t>
      </w:r>
      <w:hyperlink r:id="rId35" w:history="1">
        <w:r w:rsidRPr="00772443">
          <w:rPr>
            <w:rFonts w:cstheme="minorHAnsi"/>
            <w:color w:val="92D050"/>
            <w:lang w:val="es-NI" w:bidi="es-ES"/>
          </w:rPr>
          <w:t>portal de datos sobre la GIRH</w:t>
        </w:r>
      </w:hyperlink>
      <w:r w:rsidRPr="00772443">
        <w:rPr>
          <w:rFonts w:cstheme="minorHAnsi"/>
          <w:lang w:val="es-NI" w:bidi="es-ES"/>
        </w:rPr>
        <w:t>, que pueden ser un punto de partida útil para los debates con las partes interesadas;</w:t>
      </w:r>
    </w:p>
    <w:p w14:paraId="06806F76" w14:textId="77777777" w:rsidR="001060F0" w:rsidRPr="00772443" w:rsidRDefault="001060F0" w:rsidP="001060F0">
      <w:pPr>
        <w:pStyle w:val="ListParagraph"/>
        <w:numPr>
          <w:ilvl w:val="0"/>
          <w:numId w:val="4"/>
        </w:numPr>
        <w:spacing w:after="120" w:line="259" w:lineRule="auto"/>
        <w:jc w:val="both"/>
        <w:rPr>
          <w:rFonts w:cstheme="minorHAnsi"/>
          <w:lang w:val="es-NI"/>
        </w:rPr>
      </w:pPr>
      <w:r w:rsidRPr="00772443">
        <w:rPr>
          <w:rFonts w:cstheme="minorHAnsi"/>
          <w:u w:val="single"/>
          <w:lang w:val="es-NI" w:bidi="es-ES"/>
        </w:rPr>
        <w:t>los informes sobre las consultas a nivel nacional con las partes interesadas</w:t>
      </w:r>
      <w:r w:rsidRPr="00772443">
        <w:rPr>
          <w:rFonts w:cstheme="minorHAnsi"/>
          <w:lang w:val="es-NI" w:bidi="es-ES"/>
        </w:rPr>
        <w:t xml:space="preserve"> de las rondas de presentación de informes anteriores (solo disponibles en el caso de los países asistidos por el Programa de Apoyo para la GIRH del ODS 6, pueden descargarse del </w:t>
      </w:r>
      <w:hyperlink r:id="rId36">
        <w:r w:rsidRPr="00772443">
          <w:rPr>
            <w:rStyle w:val="Hyperlink"/>
            <w:rFonts w:cstheme="minorHAnsi"/>
            <w:lang w:val="es-NI" w:bidi="es-ES"/>
          </w:rPr>
          <w:t>mapa de resultados del Programa de Apoyo</w:t>
        </w:r>
      </w:hyperlink>
      <w:r w:rsidRPr="00772443">
        <w:rPr>
          <w:rFonts w:cstheme="minorHAnsi"/>
          <w:lang w:val="es-NI"/>
        </w:rPr>
        <w:t>)</w:t>
      </w:r>
      <w:r w:rsidRPr="00772443">
        <w:rPr>
          <w:rFonts w:cstheme="minorHAnsi"/>
          <w:lang w:val="es-NI" w:bidi="es-ES"/>
        </w:rPr>
        <w:t>;</w:t>
      </w:r>
    </w:p>
    <w:p w14:paraId="0840BCB1" w14:textId="77777777" w:rsidR="001060F0" w:rsidRPr="00772443" w:rsidRDefault="001060F0" w:rsidP="001060F0">
      <w:pPr>
        <w:pStyle w:val="ListParagraph"/>
        <w:numPr>
          <w:ilvl w:val="0"/>
          <w:numId w:val="4"/>
        </w:numPr>
        <w:spacing w:after="120" w:line="259" w:lineRule="auto"/>
        <w:jc w:val="both"/>
        <w:rPr>
          <w:rFonts w:eastAsia="Times New Roman" w:cstheme="minorHAnsi"/>
          <w:lang w:val="es-NI" w:eastAsia="en-GB"/>
        </w:rPr>
      </w:pPr>
      <w:r w:rsidRPr="00772443">
        <w:rPr>
          <w:rFonts w:cstheme="minorHAnsi"/>
          <w:lang w:val="es-NI" w:bidi="es-ES"/>
        </w:rPr>
        <w:t xml:space="preserve">toda </w:t>
      </w:r>
      <w:r w:rsidRPr="00772443">
        <w:rPr>
          <w:rFonts w:cstheme="minorHAnsi"/>
          <w:u w:val="single"/>
          <w:lang w:val="es-NI" w:bidi="es-ES"/>
        </w:rPr>
        <w:t>información adicional</w:t>
      </w:r>
      <w:r w:rsidRPr="00772443">
        <w:rPr>
          <w:rFonts w:cstheme="minorHAnsi"/>
          <w:lang w:val="es-NI" w:bidi="es-ES"/>
        </w:rPr>
        <w:t xml:space="preserve"> que resulte pertinente para conocer y evaluar la situación de la gestión hídrica y sus vínculos con otros sectores, por ejemplo, la situación de </w:t>
      </w:r>
      <w:r w:rsidRPr="00772443">
        <w:rPr>
          <w:rFonts w:cstheme="minorHAnsi"/>
          <w:lang w:val="es-NI" w:bidi="es-ES"/>
        </w:rPr>
        <w:lastRenderedPageBreak/>
        <w:t>otros indicadores de los ODS, los planes nacionales de adaptación (PNAD) y las contribuciones determinadas a nivel nacional (CDN).</w:t>
      </w:r>
    </w:p>
    <w:p w14:paraId="331285FB" w14:textId="369375F8" w:rsidR="00357599" w:rsidRPr="00772443" w:rsidRDefault="001060F0" w:rsidP="001060F0">
      <w:pPr>
        <w:pStyle w:val="Body"/>
        <w:jc w:val="both"/>
        <w:rPr>
          <w:rStyle w:val="normaltextrun"/>
          <w:lang w:val="es-NI"/>
        </w:rPr>
      </w:pPr>
      <w:r w:rsidRPr="00772443">
        <w:rPr>
          <w:rFonts w:cstheme="minorHAnsi"/>
          <w:lang w:val="es-NI" w:bidi="es-ES"/>
        </w:rPr>
        <w:t xml:space="preserve">A </w:t>
      </w:r>
      <w:proofErr w:type="gramStart"/>
      <w:r w:rsidRPr="00772443">
        <w:rPr>
          <w:rFonts w:cstheme="minorHAnsi"/>
          <w:lang w:val="es-NI" w:bidi="es-ES"/>
        </w:rPr>
        <w:t>continuación</w:t>
      </w:r>
      <w:proofErr w:type="gramEnd"/>
      <w:r w:rsidRPr="00772443">
        <w:rPr>
          <w:rFonts w:cstheme="minorHAnsi"/>
          <w:lang w:val="es-NI" w:bidi="es-ES"/>
        </w:rPr>
        <w:t xml:space="preserve"> se debería diseñar el proceso de consulta, así como preparar una lista de los participantes a quienes se invitará a tomar parte en el proceso (atendiendo a la diversidad sectorial y de otra índole señalada en la sección 2). En la sección siguiente se describen las posibles modalidades de consulta</w:t>
      </w:r>
      <w:r w:rsidR="00357599" w:rsidRPr="00772443">
        <w:rPr>
          <w:rFonts w:ascii="Calibri" w:hAnsi="Calibri" w:cs="Calibri"/>
          <w:lang w:val="es-NI"/>
        </w:rPr>
        <w:t>.</w:t>
      </w:r>
    </w:p>
    <w:p w14:paraId="7792DB97" w14:textId="01E985DF" w:rsidR="008E2EB5" w:rsidRPr="00772443" w:rsidRDefault="00357599" w:rsidP="00FA42CA">
      <w:pPr>
        <w:pStyle w:val="Body"/>
        <w:numPr>
          <w:ilvl w:val="1"/>
          <w:numId w:val="3"/>
        </w:numPr>
        <w:jc w:val="both"/>
        <w:rPr>
          <w:b/>
          <w:bCs/>
          <w:color w:val="20A6CA" w:themeColor="accent2"/>
          <w:sz w:val="36"/>
          <w:szCs w:val="36"/>
          <w:lang w:val="es-NI"/>
        </w:rPr>
      </w:pPr>
      <w:r w:rsidRPr="00772443">
        <w:rPr>
          <w:b/>
          <w:bCs/>
          <w:color w:val="20A6CA" w:themeColor="accent2"/>
          <w:sz w:val="36"/>
          <w:szCs w:val="36"/>
          <w:lang w:val="es-NI"/>
        </w:rPr>
        <w:t>Consulta</w:t>
      </w:r>
      <w:r w:rsidR="001060F0" w:rsidRPr="00772443">
        <w:rPr>
          <w:b/>
          <w:bCs/>
          <w:color w:val="20A6CA" w:themeColor="accent2"/>
          <w:sz w:val="36"/>
          <w:szCs w:val="36"/>
          <w:lang w:val="es-NI"/>
        </w:rPr>
        <w:t>s</w:t>
      </w:r>
    </w:p>
    <w:p w14:paraId="2D27205D" w14:textId="01B0E284" w:rsidR="00357599" w:rsidRPr="00772443" w:rsidRDefault="001060F0" w:rsidP="001060F0">
      <w:pPr>
        <w:pStyle w:val="ListParagraph"/>
        <w:numPr>
          <w:ilvl w:val="0"/>
          <w:numId w:val="0"/>
        </w:numPr>
        <w:spacing w:after="120"/>
        <w:jc w:val="both"/>
        <w:rPr>
          <w:rFonts w:cstheme="minorHAnsi"/>
          <w:color w:val="000000" w:themeColor="text1"/>
          <w:lang w:val="es-NI"/>
        </w:rPr>
      </w:pPr>
      <w:r w:rsidRPr="00772443">
        <w:rPr>
          <w:rStyle w:val="normaltextrun"/>
          <w:rFonts w:cstheme="minorHAnsi"/>
          <w:lang w:val="es-NI" w:bidi="es-ES"/>
        </w:rPr>
        <w:t xml:space="preserve">La </w:t>
      </w:r>
      <w:r w:rsidRPr="00772443">
        <w:rPr>
          <w:rStyle w:val="normaltextrun"/>
          <w:rFonts w:cstheme="minorHAnsi"/>
          <w:i/>
          <w:lang w:val="es-NI" w:bidi="es-ES"/>
        </w:rPr>
        <w:t>fase de consulta</w:t>
      </w:r>
      <w:r w:rsidRPr="00772443">
        <w:rPr>
          <w:rStyle w:val="normaltextrun"/>
          <w:rFonts w:cstheme="minorHAnsi"/>
          <w:lang w:val="es-NI" w:bidi="es-ES"/>
        </w:rPr>
        <w:t xml:space="preserve"> facilita las aportaciones de las partes interesadas pertinentes de distintos sectores a la encuesta nacional sobre el indicador 6.5.1 de los ODS. En esta sección se ofrecen orientaciones sobre la </w:t>
      </w:r>
      <w:r w:rsidRPr="00772443">
        <w:rPr>
          <w:rStyle w:val="normaltextrun"/>
          <w:rFonts w:cstheme="minorHAnsi"/>
          <w:i/>
          <w:lang w:val="es-NI" w:bidi="es-ES"/>
        </w:rPr>
        <w:t>secuenciación</w:t>
      </w:r>
      <w:r w:rsidRPr="00772443">
        <w:rPr>
          <w:rStyle w:val="normaltextrun"/>
          <w:rFonts w:cstheme="minorHAnsi"/>
          <w:lang w:val="es-NI" w:bidi="es-ES"/>
        </w:rPr>
        <w:t xml:space="preserve">, los </w:t>
      </w:r>
      <w:r w:rsidRPr="00772443">
        <w:rPr>
          <w:rStyle w:val="normaltextrun"/>
          <w:rFonts w:cstheme="minorHAnsi"/>
          <w:i/>
          <w:lang w:val="es-NI" w:bidi="es-ES"/>
        </w:rPr>
        <w:t xml:space="preserve">formatos </w:t>
      </w:r>
      <w:r w:rsidRPr="00772443">
        <w:rPr>
          <w:rStyle w:val="normaltextrun"/>
          <w:rFonts w:cstheme="minorHAnsi"/>
          <w:lang w:val="es-NI" w:bidi="es-ES"/>
        </w:rPr>
        <w:t xml:space="preserve">y las </w:t>
      </w:r>
      <w:r w:rsidRPr="00772443">
        <w:rPr>
          <w:rStyle w:val="normaltextrun"/>
          <w:rFonts w:cstheme="minorHAnsi"/>
          <w:i/>
          <w:lang w:val="es-NI" w:bidi="es-ES"/>
        </w:rPr>
        <w:t xml:space="preserve">mejores prácticas </w:t>
      </w:r>
      <w:r w:rsidRPr="00772443">
        <w:rPr>
          <w:rStyle w:val="normaltextrun"/>
          <w:rFonts w:cstheme="minorHAnsi"/>
          <w:lang w:val="es-NI" w:bidi="es-ES"/>
        </w:rPr>
        <w:t>posibles con miras a garantizar un proceso inclusivo y participativo, en función del contexto, las preferencias y la disponibilidad de recursos del país.</w:t>
      </w:r>
    </w:p>
    <w:p w14:paraId="51115BE9" w14:textId="3F1B7359" w:rsidR="00357599" w:rsidRPr="00772443" w:rsidRDefault="001060F0" w:rsidP="00357599">
      <w:pPr>
        <w:pStyle w:val="Header3"/>
        <w:rPr>
          <w:lang w:val="es-NI"/>
        </w:rPr>
      </w:pPr>
      <w:r w:rsidRPr="00772443">
        <w:rPr>
          <w:lang w:val="es-NI" w:bidi="es-ES"/>
        </w:rPr>
        <w:t>Secuenciación posible de las consultas con las partes interesadas</w:t>
      </w:r>
    </w:p>
    <w:p w14:paraId="59741334" w14:textId="77777777" w:rsidR="001060F0" w:rsidRPr="00772443" w:rsidRDefault="001060F0" w:rsidP="001060F0">
      <w:pPr>
        <w:pStyle w:val="Body"/>
        <w:rPr>
          <w:rFonts w:cstheme="minorHAnsi"/>
          <w:lang w:val="es-NI"/>
        </w:rPr>
      </w:pPr>
      <w:r w:rsidRPr="00772443">
        <w:rPr>
          <w:rFonts w:cstheme="minorHAnsi"/>
          <w:lang w:val="es-NI" w:bidi="es-ES"/>
        </w:rPr>
        <w:t xml:space="preserve">El proceso puede constar de una o varias consultas, en las que se dialogue con distintas partes interesadas en momentos diferentes. Sobre la base de lo aprendido en rondas previas de presentación de informes (2017 y 2020), se propone que las consultas se realicen </w:t>
      </w:r>
      <w:r w:rsidRPr="00772443">
        <w:rPr>
          <w:rFonts w:cstheme="minorHAnsi"/>
          <w:b/>
          <w:lang w:val="es-NI" w:bidi="es-ES"/>
        </w:rPr>
        <w:t>en serie</w:t>
      </w:r>
      <w:r w:rsidRPr="00772443">
        <w:rPr>
          <w:rFonts w:cstheme="minorHAnsi"/>
          <w:lang w:val="es-NI" w:bidi="es-ES"/>
        </w:rPr>
        <w:t xml:space="preserve">, </w:t>
      </w:r>
      <w:r w:rsidRPr="00772443">
        <w:rPr>
          <w:rFonts w:cstheme="minorHAnsi"/>
          <w:b/>
          <w:lang w:val="es-NI" w:bidi="es-ES"/>
        </w:rPr>
        <w:t xml:space="preserve">de manera simultánea </w:t>
      </w:r>
      <w:r w:rsidRPr="00772443">
        <w:rPr>
          <w:rFonts w:cstheme="minorHAnsi"/>
          <w:lang w:val="es-NI" w:bidi="es-ES"/>
        </w:rPr>
        <w:t xml:space="preserve">o </w:t>
      </w:r>
      <w:r w:rsidRPr="00772443">
        <w:rPr>
          <w:rFonts w:cstheme="minorHAnsi"/>
          <w:b/>
          <w:lang w:val="es-NI" w:bidi="es-ES"/>
        </w:rPr>
        <w:t xml:space="preserve">combinando </w:t>
      </w:r>
      <w:r w:rsidRPr="00772443">
        <w:rPr>
          <w:rFonts w:cstheme="minorHAnsi"/>
          <w:lang w:val="es-NI" w:bidi="es-ES"/>
        </w:rPr>
        <w:t xml:space="preserve">ambos enfoques. Las modalidades citadas se presentan a continuación. </w:t>
      </w:r>
    </w:p>
    <w:p w14:paraId="55118DE7" w14:textId="77777777" w:rsidR="001060F0" w:rsidRPr="00772443" w:rsidRDefault="001060F0" w:rsidP="001060F0">
      <w:pPr>
        <w:pStyle w:val="Body"/>
        <w:rPr>
          <w:rFonts w:cstheme="minorHAnsi"/>
          <w:b/>
          <w:bCs/>
          <w:lang w:val="es-NI"/>
        </w:rPr>
      </w:pPr>
      <w:r w:rsidRPr="00772443">
        <w:rPr>
          <w:rFonts w:cstheme="minorHAnsi"/>
          <w:b/>
          <w:lang w:val="es-NI" w:bidi="es-ES"/>
        </w:rPr>
        <w:t>Enfoque de consultas en serie</w:t>
      </w:r>
      <w:r w:rsidRPr="00772443">
        <w:rPr>
          <w:rFonts w:cstheme="minorHAnsi"/>
          <w:lang w:val="es-NI" w:bidi="es-ES"/>
        </w:rPr>
        <w:t>: se elaboran borradores consecutivos de la encuesta con distintos grupos de partes interesadas.</w:t>
      </w:r>
      <w:r w:rsidRPr="00772443">
        <w:rPr>
          <w:rFonts w:cstheme="minorHAnsi"/>
          <w:b/>
          <w:lang w:val="es-NI" w:bidi="es-ES"/>
        </w:rPr>
        <w:t xml:space="preserve"> </w:t>
      </w:r>
    </w:p>
    <w:p w14:paraId="2BA46177" w14:textId="1D7DB2DB" w:rsidR="008E2EB5" w:rsidRPr="00772443" w:rsidRDefault="001060F0" w:rsidP="001060F0">
      <w:pPr>
        <w:pStyle w:val="Body"/>
        <w:jc w:val="both"/>
        <w:rPr>
          <w:rFonts w:cstheme="minorHAnsi"/>
          <w:lang w:val="es-NI"/>
        </w:rPr>
      </w:pPr>
      <w:r w:rsidRPr="00772443">
        <w:rPr>
          <w:rFonts w:cstheme="minorHAnsi"/>
          <w:i/>
          <w:lang w:val="es-NI" w:bidi="es-ES"/>
        </w:rPr>
        <w:t>Por ejemplo, es posible que varias instituciones gubernamentales elaboren un primer borrador, que un grupo más amplio de instituciones gubernamentales examinen un segundo borrador y que otras partes interesadas aprueben un tercer borrador</w:t>
      </w:r>
      <w:r w:rsidR="00357599" w:rsidRPr="00772443">
        <w:rPr>
          <w:rStyle w:val="normaltextrun"/>
          <w:rFonts w:cstheme="minorHAnsi"/>
          <w:i/>
          <w:iCs/>
          <w:lang w:val="es-NI"/>
        </w:rPr>
        <w:t>:</w:t>
      </w:r>
    </w:p>
    <w:p w14:paraId="4CEE5AAF" w14:textId="623394C4" w:rsidR="00357599" w:rsidRPr="00772443" w:rsidRDefault="00342022" w:rsidP="00357599">
      <w:pPr>
        <w:pStyle w:val="Body"/>
        <w:jc w:val="both"/>
        <w:rPr>
          <w:rFonts w:cstheme="minorHAnsi"/>
          <w:lang w:val="es-NI"/>
        </w:rPr>
      </w:pPr>
      <w:r w:rsidRPr="00772443">
        <w:rPr>
          <w:noProof/>
          <w:lang w:val="es-NI"/>
        </w:rPr>
        <w:drawing>
          <wp:inline distT="0" distB="0" distL="0" distR="0" wp14:anchorId="6FDEFDCA" wp14:editId="04BFA7B0">
            <wp:extent cx="5731510" cy="2321560"/>
            <wp:effectExtent l="19050" t="0" r="59690" b="2159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14:paraId="7863ADDB" w14:textId="6F611AC3" w:rsidR="00342022" w:rsidRPr="00772443" w:rsidRDefault="001060F0" w:rsidP="00342022">
      <w:pPr>
        <w:pStyle w:val="Body"/>
        <w:jc w:val="both"/>
        <w:rPr>
          <w:rFonts w:cstheme="minorHAnsi"/>
          <w:i/>
          <w:iCs/>
          <w:sz w:val="20"/>
          <w:lang w:val="es-NI"/>
        </w:rPr>
      </w:pPr>
      <w:r w:rsidRPr="00772443">
        <w:rPr>
          <w:rFonts w:cstheme="minorHAnsi"/>
          <w:i/>
          <w:iCs/>
          <w:sz w:val="20"/>
          <w:lang w:val="es-NI" w:bidi="es-ES"/>
        </w:rPr>
        <w:t>Gráfico 2: Ejemplo visual de un enfoque de consultas en serie con las partes interesadas</w:t>
      </w:r>
    </w:p>
    <w:p w14:paraId="26EE5A1B" w14:textId="77777777" w:rsidR="001060F0" w:rsidRPr="00772443" w:rsidRDefault="001060F0" w:rsidP="001060F0">
      <w:pPr>
        <w:pStyle w:val="Body"/>
        <w:rPr>
          <w:rFonts w:cstheme="minorHAnsi"/>
          <w:bCs/>
          <w:lang w:val="es-NI"/>
        </w:rPr>
      </w:pPr>
      <w:r w:rsidRPr="00772443">
        <w:rPr>
          <w:rFonts w:cstheme="minorHAnsi"/>
          <w:b/>
          <w:bCs/>
          <w:lang w:val="es-NI" w:bidi="es-ES"/>
        </w:rPr>
        <w:t xml:space="preserve">Enfoque de consultas simultáneas: </w:t>
      </w:r>
      <w:r w:rsidRPr="00772443">
        <w:rPr>
          <w:rFonts w:cstheme="minorHAnsi"/>
          <w:bCs/>
          <w:lang w:val="es-NI" w:bidi="es-ES"/>
        </w:rPr>
        <w:t xml:space="preserve">distintos grupos de partes interesadas cumplimentan una encuesta en blanco, después el coordinador o el facilitador analiza las respuestas y, a continuación, se llega a un acuerdo sobre las puntuaciones. </w:t>
      </w:r>
    </w:p>
    <w:p w14:paraId="6F19D31F" w14:textId="21038033" w:rsidR="00357599" w:rsidRPr="00772443" w:rsidRDefault="001060F0" w:rsidP="001060F0">
      <w:pPr>
        <w:pStyle w:val="Body"/>
        <w:jc w:val="both"/>
        <w:rPr>
          <w:rStyle w:val="normaltextrun"/>
          <w:rFonts w:cstheme="minorHAnsi"/>
          <w:lang w:val="es-NI"/>
        </w:rPr>
      </w:pPr>
      <w:r w:rsidRPr="00772443">
        <w:rPr>
          <w:rFonts w:cstheme="minorHAnsi"/>
          <w:bCs/>
          <w:lang w:val="es-NI" w:bidi="es-ES"/>
        </w:rPr>
        <w:lastRenderedPageBreak/>
        <w:t>El acuerdo se puede alcanzar mediante uno o más talleres guiados en los que se examinen distintos puntos de vista. Si no se llega a un consenso sobre una pregunta en particular, se podría organizar una consulta de seguimiento en un plazo de tiempo razonable con un grupo focal reducido con miras a acordar la puntuación definitiva. También resulta pertinente en los casos en que no todas las partes interesadas pueden asistir al taller o los talleres.</w:t>
      </w:r>
    </w:p>
    <w:p w14:paraId="670A5662" w14:textId="2F8F7E7A" w:rsidR="00D57092" w:rsidRPr="00772443" w:rsidRDefault="00D57092" w:rsidP="00342022">
      <w:pPr>
        <w:pStyle w:val="Body"/>
        <w:jc w:val="both"/>
        <w:rPr>
          <w:rFonts w:cstheme="minorHAnsi"/>
          <w:b/>
          <w:bCs/>
          <w:lang w:val="es-NI"/>
        </w:rPr>
      </w:pPr>
      <w:r w:rsidRPr="00772443">
        <w:rPr>
          <w:noProof/>
          <w:lang w:val="es-NI"/>
        </w:rPr>
        <w:drawing>
          <wp:inline distT="0" distB="0" distL="0" distR="0" wp14:anchorId="2EF3CE4F" wp14:editId="0D1AEB40">
            <wp:extent cx="5609590" cy="1506855"/>
            <wp:effectExtent l="19050" t="0" r="4826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0B8AA6AC" w14:textId="181E9049" w:rsidR="00D57092" w:rsidRPr="00772443" w:rsidRDefault="001060F0" w:rsidP="001060F0">
      <w:pPr>
        <w:pStyle w:val="Caption"/>
        <w:rPr>
          <w:color w:val="12354E" w:themeColor="accent1" w:themeShade="BF"/>
          <w:sz w:val="20"/>
          <w:szCs w:val="20"/>
          <w:lang w:val="es-NI"/>
        </w:rPr>
      </w:pPr>
      <w:r w:rsidRPr="00772443">
        <w:rPr>
          <w:color w:val="12354E" w:themeColor="accent1" w:themeShade="BF"/>
          <w:sz w:val="20"/>
          <w:szCs w:val="20"/>
          <w:lang w:val="es-NI" w:bidi="es-ES"/>
        </w:rPr>
        <w:t>Gráfico 3: Visión general del posible desarrollo de un proceso de consultas simultáneas</w:t>
      </w:r>
    </w:p>
    <w:p w14:paraId="4F9CFD3C" w14:textId="7B259812" w:rsidR="001060F0" w:rsidRPr="00772443" w:rsidRDefault="001060F0" w:rsidP="001060F0">
      <w:pPr>
        <w:pStyle w:val="Body"/>
        <w:rPr>
          <w:rFonts w:cstheme="minorHAnsi"/>
          <w:bCs/>
          <w:lang w:val="es-NI"/>
        </w:rPr>
      </w:pPr>
      <w:r w:rsidRPr="00772443">
        <w:rPr>
          <w:rFonts w:cstheme="minorHAnsi"/>
          <w:b/>
          <w:bCs/>
          <w:lang w:val="es-NI" w:bidi="es-ES"/>
        </w:rPr>
        <w:t xml:space="preserve">Enfoque mixto: </w:t>
      </w:r>
      <w:r w:rsidRPr="00772443">
        <w:rPr>
          <w:rFonts w:cstheme="minorHAnsi"/>
          <w:bCs/>
          <w:lang w:val="es-NI" w:bidi="es-ES"/>
        </w:rPr>
        <w:t xml:space="preserve">se puede recurrir a distintas combinaciones de los enfoques de consultas en serie y simultáneas. Además, los países pueden diseñar procesos alternativos que se ajusten mejor a las circunstancias nacionales. </w:t>
      </w:r>
    </w:p>
    <w:p w14:paraId="35D20FA6" w14:textId="54ABC85A" w:rsidR="00342022" w:rsidRPr="00772443" w:rsidRDefault="001060F0" w:rsidP="001060F0">
      <w:pPr>
        <w:pStyle w:val="Body"/>
        <w:jc w:val="both"/>
        <w:rPr>
          <w:rFonts w:cstheme="minorHAnsi"/>
          <w:lang w:val="es-NI"/>
        </w:rPr>
      </w:pPr>
      <w:r w:rsidRPr="00772443">
        <w:rPr>
          <w:rFonts w:cstheme="minorHAnsi"/>
          <w:bCs/>
          <w:u w:val="single"/>
          <w:lang w:val="es-NI" w:bidi="es-ES"/>
        </w:rPr>
        <w:t>Con independencia del enfoque aplicado, tras el proceso de consulta con las partes interesadas se debería generar una única respuesta consolidada a la encuesta sobre el indicador 6.5.1,</w:t>
      </w:r>
      <w:r w:rsidRPr="00772443">
        <w:rPr>
          <w:rFonts w:cstheme="minorHAnsi"/>
          <w:bCs/>
          <w:lang w:val="es-NI" w:bidi="es-ES"/>
        </w:rPr>
        <w:t xml:space="preserve"> que habrá de presentarse al PNUMA en nombre del país en el plazo de tiempo prescrito</w:t>
      </w:r>
      <w:r w:rsidR="00342022" w:rsidRPr="00772443">
        <w:rPr>
          <w:rStyle w:val="normaltextrun"/>
          <w:rFonts w:cstheme="minorHAnsi"/>
          <w:lang w:val="es-NI"/>
        </w:rPr>
        <w:t>.</w:t>
      </w:r>
    </w:p>
    <w:p w14:paraId="48AE2243" w14:textId="77777777" w:rsidR="001060F0" w:rsidRPr="00772443" w:rsidRDefault="001060F0" w:rsidP="001060F0">
      <w:pPr>
        <w:spacing w:after="120"/>
        <w:jc w:val="both"/>
        <w:rPr>
          <w:b/>
          <w:bCs/>
          <w:color w:val="F39371" w:themeColor="accent6"/>
          <w:sz w:val="28"/>
          <w:szCs w:val="28"/>
          <w:lang w:val="es-NI"/>
        </w:rPr>
      </w:pPr>
      <w:r w:rsidRPr="00772443">
        <w:rPr>
          <w:b/>
          <w:bCs/>
          <w:color w:val="F39371" w:themeColor="accent6"/>
          <w:sz w:val="28"/>
          <w:szCs w:val="28"/>
          <w:lang w:val="es-NI" w:bidi="es-ES"/>
        </w:rPr>
        <w:t>Posibles formatos: consultas presenciales, en línea o en formato híbrido</w:t>
      </w:r>
    </w:p>
    <w:p w14:paraId="679AB1D9" w14:textId="77777777"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Es importante determinar si las consultas deberían llevarse a cabo de manera presencial, en línea o en un formato híbrido, atendiendo a los recursos disponibles y las limitaciones de tiempo. </w:t>
      </w:r>
    </w:p>
    <w:p w14:paraId="34A5CF7D" w14:textId="77777777" w:rsidR="001060F0" w:rsidRPr="00772443" w:rsidRDefault="001060F0" w:rsidP="001060F0">
      <w:pPr>
        <w:pStyle w:val="Body"/>
        <w:jc w:val="both"/>
        <w:rPr>
          <w:rFonts w:eastAsia="Calibri" w:cstheme="minorHAnsi"/>
          <w:b/>
          <w:bCs/>
          <w:lang w:val="es-NI"/>
        </w:rPr>
      </w:pPr>
      <w:r w:rsidRPr="00772443">
        <w:rPr>
          <w:rFonts w:eastAsia="Calibri" w:cstheme="minorHAnsi"/>
          <w:b/>
          <w:lang w:val="es-NI" w:bidi="es-ES"/>
        </w:rPr>
        <w:t>Consultas presenciales</w:t>
      </w:r>
    </w:p>
    <w:p w14:paraId="54740AA8" w14:textId="7B41C0D2"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Las consultas presenciales suelen realizarse en uno o varios talleres. Lo ideal sería que el taller o los talleres se celebren en un lugar accesible que permita la participación plena y significativa de todas las partes interesadas pertinentes. Además de talleres presenciales, también se pueden celebrar consultas presenciales semiestructuradas, como entrevistas específicas a unas pocas personas clave con miras a conocer mejor las oportunidades y los desafíos de un país en lo relativo a alguna pregunta particular de la encuesta sobre el indicador 6.5.1.  En el </w:t>
      </w:r>
      <w:hyperlink r:id="rId47" w:history="1">
        <w:r w:rsidRPr="00772443">
          <w:rPr>
            <w:rStyle w:val="Hyperlink"/>
            <w:rFonts w:eastAsia="Calibri" w:cstheme="minorHAnsi"/>
            <w:i/>
            <w:lang w:val="es-NI" w:bidi="es-ES"/>
          </w:rPr>
          <w:t>anexo 2</w:t>
        </w:r>
      </w:hyperlink>
      <w:r w:rsidRPr="00772443">
        <w:rPr>
          <w:rFonts w:eastAsia="Calibri" w:cstheme="minorHAnsi"/>
          <w:lang w:val="es-NI" w:bidi="es-ES"/>
        </w:rPr>
        <w:t xml:space="preserve"> figura un ejemplo de agenda para talleres, que puede modificarse para adaptarse a formatos en línea o híbridos.</w:t>
      </w:r>
    </w:p>
    <w:p w14:paraId="02C9B6E3" w14:textId="77777777" w:rsidR="001060F0" w:rsidRPr="00772443" w:rsidRDefault="001060F0" w:rsidP="001060F0">
      <w:pPr>
        <w:pStyle w:val="Body"/>
        <w:jc w:val="both"/>
        <w:rPr>
          <w:rFonts w:eastAsia="Calibri" w:cstheme="minorHAnsi"/>
          <w:lang w:val="es-NI"/>
        </w:rPr>
      </w:pPr>
      <w:r w:rsidRPr="00772443">
        <w:rPr>
          <w:rFonts w:eastAsia="Calibri" w:cstheme="minorHAnsi"/>
          <w:b/>
          <w:lang w:val="es-NI" w:bidi="es-ES"/>
        </w:rPr>
        <w:t>Consultas en línea</w:t>
      </w:r>
    </w:p>
    <w:p w14:paraId="0F79CC81" w14:textId="77777777"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Las consultas en línea pueden ser útiles para aumentar el número de partes interesadas que participan en el proceso. No obstante, los facilitadores deberían tener en cuenta que la participación en reuniones virtuales podría resultar complicada para determinados grupos de partes interesadas, y es importante reconocer estas dificultades. Idealmente, los talleres en </w:t>
      </w:r>
      <w:r w:rsidRPr="00772443">
        <w:rPr>
          <w:rFonts w:eastAsia="Calibri" w:cstheme="minorHAnsi"/>
          <w:lang w:val="es-NI" w:bidi="es-ES"/>
        </w:rPr>
        <w:lastRenderedPageBreak/>
        <w:t xml:space="preserve">línea no deberían ocupar más de 3 o 4 horas cada día, para asegurarse de que los participantes mantengan la concentración. </w:t>
      </w:r>
    </w:p>
    <w:p w14:paraId="4EA72085" w14:textId="77777777"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A </w:t>
      </w:r>
      <w:proofErr w:type="gramStart"/>
      <w:r w:rsidRPr="00772443">
        <w:rPr>
          <w:rFonts w:eastAsia="Calibri" w:cstheme="minorHAnsi"/>
          <w:lang w:val="es-NI" w:bidi="es-ES"/>
        </w:rPr>
        <w:t>continuación</w:t>
      </w:r>
      <w:proofErr w:type="gramEnd"/>
      <w:r w:rsidRPr="00772443">
        <w:rPr>
          <w:rFonts w:eastAsia="Calibri" w:cstheme="minorHAnsi"/>
          <w:lang w:val="es-NI" w:bidi="es-ES"/>
        </w:rPr>
        <w:t xml:space="preserve"> se ofrecen varias propuestas para los procesos de consultas en línea, que pueden combinarse según sea necesario a fin de que el proceso de consulta con las partes interesadas en línea sea más eficiente:</w:t>
      </w:r>
    </w:p>
    <w:p w14:paraId="7C976CDF" w14:textId="77777777" w:rsidR="001060F0" w:rsidRPr="00772443"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Taller(es) de introducción:</w:t>
      </w:r>
      <w:r w:rsidRPr="00772443">
        <w:rPr>
          <w:rFonts w:eastAsia="Calibri" w:cstheme="minorHAnsi"/>
          <w:lang w:val="es-NI" w:bidi="es-ES"/>
        </w:rPr>
        <w:t xml:space="preserve"> se podría celebrar un seminario web informativo en línea para poner en común los objetivos del proceso de presentación de informes y la puntuación anterior del país con respecto al indicador 6.5.1 de los ODS, así como para describir el proceso que se va a seguir.</w:t>
      </w:r>
    </w:p>
    <w:p w14:paraId="5838B00E" w14:textId="77777777" w:rsidR="001060F0" w:rsidRPr="00772443"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Aportaciones por correo electrónico</w:t>
      </w:r>
      <w:r w:rsidRPr="00772443">
        <w:rPr>
          <w:rFonts w:eastAsia="Calibri" w:cstheme="minorHAnsi"/>
          <w:lang w:val="es-NI" w:bidi="es-ES"/>
        </w:rPr>
        <w:t xml:space="preserve">: se puede pedir a varias partes interesadas que cumplimenten la encuesta completa, determinadas secciones o preguntas de la encuesta, en función de lo que resulte pertinente. </w:t>
      </w:r>
    </w:p>
    <w:p w14:paraId="11C6EB78" w14:textId="77777777" w:rsidR="001060F0" w:rsidRPr="00772443"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Coordinadores</w:t>
      </w:r>
      <w:r w:rsidRPr="00772443">
        <w:rPr>
          <w:rFonts w:eastAsia="Calibri" w:cstheme="minorHAnsi"/>
          <w:b/>
          <w:vertAlign w:val="superscript"/>
          <w:lang w:val="es-NI" w:bidi="es-ES"/>
        </w:rPr>
        <w:footnoteReference w:id="2"/>
      </w:r>
      <w:r w:rsidRPr="00772443">
        <w:rPr>
          <w:rFonts w:eastAsia="Calibri" w:cstheme="minorHAnsi"/>
          <w:b/>
          <w:lang w:val="es-NI" w:bidi="es-ES"/>
        </w:rPr>
        <w:t>:</w:t>
      </w:r>
      <w:r w:rsidRPr="00772443">
        <w:rPr>
          <w:rFonts w:eastAsia="Calibri" w:cstheme="minorHAnsi"/>
          <w:lang w:val="es-NI" w:bidi="es-ES"/>
        </w:rPr>
        <w:t xml:space="preserve"> se podrían organizar talleres en línea más reducidos con grupos de partes interesadas para examinar preguntas específicas o conjuntos de preguntas de la encuesta.</w:t>
      </w:r>
    </w:p>
    <w:p w14:paraId="17442107" w14:textId="77777777" w:rsidR="001060F0" w:rsidRPr="00772443"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Foros de debate:</w:t>
      </w:r>
      <w:r w:rsidRPr="00772443">
        <w:rPr>
          <w:rFonts w:eastAsia="Calibri" w:cstheme="minorHAnsi"/>
          <w:lang w:val="es-NI" w:bidi="es-ES"/>
        </w:rPr>
        <w:t xml:space="preserve"> las preguntas clave pueden someterse a consulta con un grupo de partes interesadas más amplio, aunque seleccionado, posiblemente por medio de un proceso de registro previo. Ello permite analizar mucho más exhaustivamente aspectos clave y promover una comprensión común entre un mayor número de participantes.</w:t>
      </w:r>
    </w:p>
    <w:p w14:paraId="2BB3D97E" w14:textId="48F76722" w:rsidR="001060F0" w:rsidRPr="00772443"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Encuestas en línea:</w:t>
      </w:r>
      <w:r w:rsidRPr="00772443">
        <w:rPr>
          <w:rFonts w:eastAsia="Calibri" w:cstheme="minorHAnsi"/>
          <w:lang w:val="es-NI" w:bidi="es-ES"/>
        </w:rPr>
        <w:t xml:space="preserve"> como posible complemento a otros análisis más profundos, cabe recopilar información cuantitativa y cualitativa de un grupo más amplio mediante plataformas de encuesta en línea, como la herramienta de encuesta sobre la GIRH (véase el </w:t>
      </w:r>
      <w:hyperlink r:id="rId48" w:history="1">
        <w:r w:rsidRPr="00772443">
          <w:rPr>
            <w:rStyle w:val="Hyperlink"/>
            <w:rFonts w:eastAsia="Calibri" w:cstheme="minorHAnsi"/>
            <w:i/>
            <w:lang w:val="es-NI" w:bidi="es-ES"/>
          </w:rPr>
          <w:t>anexo 1</w:t>
        </w:r>
      </w:hyperlink>
      <w:r w:rsidRPr="00772443">
        <w:rPr>
          <w:rFonts w:eastAsia="Calibri" w:cstheme="minorHAnsi"/>
          <w:lang w:val="es-NI" w:bidi="es-ES"/>
        </w:rPr>
        <w:t>).</w:t>
      </w:r>
    </w:p>
    <w:p w14:paraId="2DAB8959" w14:textId="7A9E3988" w:rsidR="001060F0" w:rsidRDefault="001060F0" w:rsidP="00772443">
      <w:pPr>
        <w:pStyle w:val="Body"/>
        <w:numPr>
          <w:ilvl w:val="0"/>
          <w:numId w:val="30"/>
        </w:numPr>
        <w:spacing w:after="0"/>
        <w:ind w:left="714" w:hanging="357"/>
        <w:jc w:val="both"/>
        <w:rPr>
          <w:rFonts w:eastAsia="Calibri" w:cstheme="minorHAnsi"/>
          <w:lang w:val="es-NI"/>
        </w:rPr>
      </w:pPr>
      <w:r w:rsidRPr="00772443">
        <w:rPr>
          <w:rFonts w:eastAsia="Calibri" w:cstheme="minorHAnsi"/>
          <w:b/>
          <w:lang w:val="es-NI" w:bidi="es-ES"/>
        </w:rPr>
        <w:t>Taller (final) en línea:</w:t>
      </w:r>
      <w:r w:rsidRPr="00772443">
        <w:rPr>
          <w:rFonts w:eastAsia="Calibri" w:cstheme="minorHAnsi"/>
          <w:lang w:val="es-NI" w:bidi="es-ES"/>
        </w:rPr>
        <w:t xml:space="preserve"> el formato en línea permite un mayor número de participantes y contribuye a una participación más amplia. </w:t>
      </w:r>
    </w:p>
    <w:p w14:paraId="23120FDE" w14:textId="77777777" w:rsidR="00772443" w:rsidRPr="00772443" w:rsidRDefault="00772443" w:rsidP="00772443">
      <w:pPr>
        <w:pStyle w:val="Body"/>
        <w:spacing w:after="0"/>
        <w:ind w:left="714"/>
        <w:jc w:val="both"/>
        <w:rPr>
          <w:rFonts w:eastAsia="Calibri" w:cstheme="minorHAnsi"/>
          <w:lang w:val="es-NI"/>
        </w:rPr>
      </w:pPr>
    </w:p>
    <w:p w14:paraId="28C0D541" w14:textId="77777777"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Es posible celebrar talleres en línea de un modo similar a los talleres presenciales para un número máximo de participantes (por ejemplo, de 20 a 30). Si el número de participantes es mayor, se recomienda prever grupos de trabajo y designar moderadores adicionales para velar por que la participación en cada grupo sea eficiente. A ser posible, este tipo de talleres debería basarse en la información aportada mediante los diversos mecanismos enumerados anteriormente. El objetivo debería ser llegar a un consenso o acuerdo con respecto a las puntuaciones y las respuestas de desarrollo en relación con cada una de las preguntas. Los talleres podrían celebrarse en días consecutivos de modo que cada día esté centrado en 1 o 2 secciones de la encuesta. </w:t>
      </w:r>
    </w:p>
    <w:p w14:paraId="08C1E1C1" w14:textId="77777777" w:rsidR="001060F0" w:rsidRPr="00772443" w:rsidRDefault="001060F0" w:rsidP="001060F0">
      <w:pPr>
        <w:pStyle w:val="Body"/>
        <w:jc w:val="both"/>
        <w:rPr>
          <w:rFonts w:eastAsia="Calibri" w:cstheme="minorHAnsi"/>
          <w:lang w:val="es-NI"/>
        </w:rPr>
      </w:pPr>
      <w:r w:rsidRPr="00772443">
        <w:rPr>
          <w:rFonts w:eastAsia="Calibri" w:cstheme="minorHAnsi"/>
          <w:lang w:val="es-NI" w:bidi="es-ES"/>
        </w:rPr>
        <w:t xml:space="preserve">A </w:t>
      </w:r>
      <w:proofErr w:type="gramStart"/>
      <w:r w:rsidRPr="00772443">
        <w:rPr>
          <w:rFonts w:eastAsia="Calibri" w:cstheme="minorHAnsi"/>
          <w:lang w:val="es-NI" w:bidi="es-ES"/>
        </w:rPr>
        <w:t>continuación</w:t>
      </w:r>
      <w:proofErr w:type="gramEnd"/>
      <w:r w:rsidRPr="00772443">
        <w:rPr>
          <w:rFonts w:eastAsia="Calibri" w:cstheme="minorHAnsi"/>
          <w:lang w:val="es-NI" w:bidi="es-ES"/>
        </w:rPr>
        <w:t xml:space="preserve"> se ofrece una breve lista de posibles plataformas e instrumentos de comunicación. Es probable que las personas y los departamentos gubernamentales tengan preferencias en cuanto a las plataformas, y no es necesario recurrir a plataformas nuevas si ya existen sistemas eficaces o conocidos. En el caso de consultas más amplias, podría resultar </w:t>
      </w:r>
      <w:r w:rsidRPr="00772443">
        <w:rPr>
          <w:rFonts w:eastAsia="Calibri" w:cstheme="minorHAnsi"/>
          <w:lang w:val="es-NI" w:bidi="es-ES"/>
        </w:rPr>
        <w:lastRenderedPageBreak/>
        <w:t xml:space="preserve">útil la participación de facilitadores especializados en el uso de tales instrumentos. Ejemplos de instrumentos en línea: </w:t>
      </w:r>
    </w:p>
    <w:p w14:paraId="10FE5300" w14:textId="77777777" w:rsidR="001060F0" w:rsidRPr="00772443" w:rsidRDefault="001060F0" w:rsidP="00772443">
      <w:pPr>
        <w:pStyle w:val="Body"/>
        <w:numPr>
          <w:ilvl w:val="0"/>
          <w:numId w:val="6"/>
        </w:numPr>
        <w:spacing w:after="120"/>
        <w:ind w:left="714" w:hanging="357"/>
        <w:jc w:val="both"/>
        <w:rPr>
          <w:rFonts w:eastAsia="Calibri" w:cstheme="minorHAnsi"/>
          <w:lang w:val="es-NI"/>
        </w:rPr>
      </w:pPr>
      <w:r w:rsidRPr="00772443">
        <w:rPr>
          <w:rFonts w:eastAsia="Calibri" w:cstheme="minorHAnsi"/>
          <w:lang w:val="es-NI" w:bidi="es-ES"/>
        </w:rPr>
        <w:t xml:space="preserve">para sesiones con dos personas o grupos reducidos: por ejemplo, teléfono, Microsoft </w:t>
      </w:r>
      <w:proofErr w:type="spellStart"/>
      <w:r w:rsidRPr="00772443">
        <w:rPr>
          <w:rFonts w:eastAsia="Calibri" w:cstheme="minorHAnsi"/>
          <w:lang w:val="es-NI" w:bidi="es-ES"/>
        </w:rPr>
        <w:t>Teams</w:t>
      </w:r>
      <w:proofErr w:type="spellEnd"/>
      <w:r w:rsidRPr="00772443">
        <w:rPr>
          <w:rFonts w:eastAsia="Calibri" w:cstheme="minorHAnsi"/>
          <w:lang w:val="es-NI" w:bidi="es-ES"/>
        </w:rPr>
        <w:t xml:space="preserve">, WhatsApp, </w:t>
      </w:r>
      <w:proofErr w:type="gramStart"/>
      <w:r w:rsidRPr="00772443">
        <w:rPr>
          <w:rFonts w:eastAsia="Calibri" w:cstheme="minorHAnsi"/>
          <w:lang w:val="es-NI" w:bidi="es-ES"/>
        </w:rPr>
        <w:t>Zoom</w:t>
      </w:r>
      <w:proofErr w:type="gramEnd"/>
      <w:r w:rsidRPr="00772443">
        <w:rPr>
          <w:rFonts w:eastAsia="Calibri" w:cstheme="minorHAnsi"/>
          <w:lang w:val="es-NI" w:bidi="es-ES"/>
        </w:rPr>
        <w:t xml:space="preserve">, </w:t>
      </w:r>
      <w:proofErr w:type="spellStart"/>
      <w:r w:rsidRPr="00772443">
        <w:rPr>
          <w:rFonts w:eastAsia="Calibri" w:cstheme="minorHAnsi"/>
          <w:lang w:val="es-NI" w:bidi="es-ES"/>
        </w:rPr>
        <w:t>Facetime</w:t>
      </w:r>
      <w:proofErr w:type="spellEnd"/>
      <w:r w:rsidRPr="00772443">
        <w:rPr>
          <w:rFonts w:eastAsia="Calibri" w:cstheme="minorHAnsi"/>
          <w:lang w:val="es-NI" w:bidi="es-ES"/>
        </w:rPr>
        <w:t xml:space="preserve">, </w:t>
      </w:r>
      <w:proofErr w:type="spellStart"/>
      <w:r w:rsidRPr="00772443">
        <w:rPr>
          <w:rFonts w:eastAsia="Calibri" w:cstheme="minorHAnsi"/>
          <w:lang w:val="es-NI" w:bidi="es-ES"/>
        </w:rPr>
        <w:t>Duo</w:t>
      </w:r>
      <w:proofErr w:type="spellEnd"/>
      <w:r w:rsidRPr="00772443">
        <w:rPr>
          <w:rFonts w:eastAsia="Calibri" w:cstheme="minorHAnsi"/>
          <w:lang w:val="es-NI" w:bidi="es-ES"/>
        </w:rPr>
        <w:t xml:space="preserve">, etc.; </w:t>
      </w:r>
    </w:p>
    <w:p w14:paraId="07C2EF16" w14:textId="77777777" w:rsidR="001060F0" w:rsidRPr="00772443" w:rsidRDefault="001060F0" w:rsidP="00772443">
      <w:pPr>
        <w:pStyle w:val="Body"/>
        <w:numPr>
          <w:ilvl w:val="0"/>
          <w:numId w:val="6"/>
        </w:numPr>
        <w:spacing w:after="120"/>
        <w:ind w:left="714" w:hanging="357"/>
        <w:jc w:val="both"/>
        <w:rPr>
          <w:rFonts w:eastAsia="Calibri" w:cstheme="minorHAnsi"/>
          <w:lang w:val="es-NI"/>
        </w:rPr>
      </w:pPr>
      <w:r w:rsidRPr="00772443">
        <w:rPr>
          <w:rFonts w:eastAsia="Calibri" w:cstheme="minorHAnsi"/>
          <w:lang w:val="es-NI" w:bidi="es-ES"/>
        </w:rPr>
        <w:t xml:space="preserve">para reuniones o talleres en línea (con o sin video): por ejemplo, </w:t>
      </w:r>
      <w:proofErr w:type="gramStart"/>
      <w:r w:rsidRPr="00772443">
        <w:rPr>
          <w:rFonts w:eastAsia="Calibri" w:cstheme="minorHAnsi"/>
          <w:lang w:val="es-NI" w:bidi="es-ES"/>
        </w:rPr>
        <w:t>Zoom</w:t>
      </w:r>
      <w:proofErr w:type="gramEnd"/>
      <w:r w:rsidRPr="00772443">
        <w:rPr>
          <w:rFonts w:eastAsia="Calibri" w:cstheme="minorHAnsi"/>
          <w:lang w:val="es-NI" w:bidi="es-ES"/>
        </w:rPr>
        <w:t xml:space="preserve">, Microsoft </w:t>
      </w:r>
      <w:proofErr w:type="spellStart"/>
      <w:r w:rsidRPr="00772443">
        <w:rPr>
          <w:rFonts w:eastAsia="Calibri" w:cstheme="minorHAnsi"/>
          <w:lang w:val="es-NI" w:bidi="es-ES"/>
        </w:rPr>
        <w:t>Teams</w:t>
      </w:r>
      <w:proofErr w:type="spellEnd"/>
      <w:r w:rsidRPr="00772443">
        <w:rPr>
          <w:rFonts w:eastAsia="Calibri" w:cstheme="minorHAnsi"/>
          <w:lang w:val="es-NI" w:bidi="es-ES"/>
        </w:rPr>
        <w:t xml:space="preserve">, WebEx, </w:t>
      </w:r>
      <w:proofErr w:type="spellStart"/>
      <w:r w:rsidRPr="00772443">
        <w:rPr>
          <w:rFonts w:eastAsia="Calibri" w:cstheme="minorHAnsi"/>
          <w:lang w:val="es-NI" w:bidi="es-ES"/>
        </w:rPr>
        <w:t>GoToMeeting</w:t>
      </w:r>
      <w:proofErr w:type="spellEnd"/>
      <w:r w:rsidRPr="00772443">
        <w:rPr>
          <w:rFonts w:eastAsia="Calibri" w:cstheme="minorHAnsi"/>
          <w:lang w:val="es-NI" w:bidi="es-ES"/>
        </w:rPr>
        <w:t xml:space="preserve">, Skype Empresarial, Google </w:t>
      </w:r>
      <w:proofErr w:type="spellStart"/>
      <w:r w:rsidRPr="00772443">
        <w:rPr>
          <w:rFonts w:eastAsia="Calibri" w:cstheme="minorHAnsi"/>
          <w:lang w:val="es-NI" w:bidi="es-ES"/>
        </w:rPr>
        <w:t>Meet</w:t>
      </w:r>
      <w:proofErr w:type="spellEnd"/>
      <w:r w:rsidRPr="00772443">
        <w:rPr>
          <w:rFonts w:eastAsia="Calibri" w:cstheme="minorHAnsi"/>
          <w:lang w:val="es-NI" w:bidi="es-ES"/>
        </w:rPr>
        <w:t xml:space="preserve">, </w:t>
      </w:r>
      <w:proofErr w:type="spellStart"/>
      <w:r w:rsidRPr="00772443">
        <w:rPr>
          <w:rFonts w:eastAsia="Calibri" w:cstheme="minorHAnsi"/>
          <w:lang w:val="es-NI" w:bidi="es-ES"/>
        </w:rPr>
        <w:t>BlueJeans</w:t>
      </w:r>
      <w:proofErr w:type="spellEnd"/>
      <w:r w:rsidRPr="00772443">
        <w:rPr>
          <w:rFonts w:eastAsia="Calibri" w:cstheme="minorHAnsi"/>
          <w:lang w:val="es-NI" w:bidi="es-ES"/>
        </w:rPr>
        <w:t xml:space="preserve">; </w:t>
      </w:r>
    </w:p>
    <w:p w14:paraId="21C7E899" w14:textId="6C904DDE" w:rsidR="001060F0" w:rsidRPr="00772443" w:rsidRDefault="001060F0" w:rsidP="00772443">
      <w:pPr>
        <w:pStyle w:val="Body"/>
        <w:numPr>
          <w:ilvl w:val="0"/>
          <w:numId w:val="6"/>
        </w:numPr>
        <w:spacing w:after="120"/>
        <w:ind w:left="714" w:hanging="357"/>
        <w:jc w:val="both"/>
        <w:rPr>
          <w:rFonts w:eastAsia="Calibri" w:cstheme="minorHAnsi"/>
          <w:b/>
          <w:bCs/>
          <w:lang w:val="es-NI"/>
        </w:rPr>
      </w:pPr>
      <w:r w:rsidRPr="00772443">
        <w:rPr>
          <w:rFonts w:eastAsia="Calibri" w:cstheme="minorHAnsi"/>
          <w:lang w:val="es-NI" w:bidi="es-ES"/>
        </w:rPr>
        <w:t xml:space="preserve">para foros de debate: por ejemplo, Facebook, LinkedIn. </w:t>
      </w:r>
    </w:p>
    <w:p w14:paraId="0D32F7BF" w14:textId="77777777" w:rsidR="001060F0" w:rsidRPr="00772443" w:rsidRDefault="001060F0" w:rsidP="001060F0">
      <w:pPr>
        <w:pStyle w:val="Body"/>
        <w:jc w:val="both"/>
        <w:rPr>
          <w:rFonts w:eastAsia="Calibri" w:cstheme="minorHAnsi"/>
          <w:b/>
          <w:bCs/>
          <w:lang w:val="es-NI"/>
        </w:rPr>
      </w:pPr>
      <w:r w:rsidRPr="00772443">
        <w:rPr>
          <w:rFonts w:eastAsia="Calibri" w:cstheme="minorHAnsi"/>
          <w:b/>
          <w:lang w:val="es-NI" w:bidi="es-ES"/>
        </w:rPr>
        <w:t>Consultas en formato híbrido</w:t>
      </w:r>
    </w:p>
    <w:p w14:paraId="5AD045A5" w14:textId="77571CC5" w:rsidR="0090455F" w:rsidRPr="00772443" w:rsidRDefault="001060F0" w:rsidP="001060F0">
      <w:pPr>
        <w:pStyle w:val="Body"/>
        <w:jc w:val="both"/>
        <w:rPr>
          <w:lang w:val="es-NI"/>
        </w:rPr>
      </w:pPr>
      <w:r w:rsidRPr="00772443">
        <w:rPr>
          <w:rFonts w:eastAsia="Calibri" w:cstheme="minorHAnsi"/>
          <w:lang w:val="es-NI" w:bidi="es-ES"/>
        </w:rPr>
        <w:t>Se pueden combinar los formatos en línea y presencial de distintos modos. Por ejemplo, se podría celebrar una consulta o encuesta en línea antes de un taller presencial, o se podría organizar un acto totalmente híbrido en el que participantes presenciales y virtuales examinen la puntuación de las preguntas. En este último caso, debe prestarse especial atención a la necesidad de garantizar que los participantes virtuales puedan contribuir de manera significativa.</w:t>
      </w:r>
      <w:r w:rsidR="00342022" w:rsidRPr="00772443">
        <w:rPr>
          <w:lang w:val="es-NI"/>
        </w:rPr>
        <w:t xml:space="preserve"> </w:t>
      </w:r>
    </w:p>
    <w:p w14:paraId="0253865D" w14:textId="00CB405E" w:rsidR="00342022" w:rsidRPr="00772443" w:rsidRDefault="001060F0" w:rsidP="00342022">
      <w:pPr>
        <w:pStyle w:val="Header3"/>
        <w:rPr>
          <w:lang w:val="es-NI"/>
        </w:rPr>
      </w:pPr>
      <w:r w:rsidRPr="00772443">
        <w:rPr>
          <w:lang w:val="es-NI" w:bidi="es-ES"/>
        </w:rPr>
        <w:t>Mejores prácticas para diseñar un enfoque de participación</w:t>
      </w:r>
    </w:p>
    <w:p w14:paraId="16D9E442" w14:textId="77777777" w:rsidR="001060F0" w:rsidRPr="00772443" w:rsidRDefault="001060F0" w:rsidP="001060F0">
      <w:pPr>
        <w:pStyle w:val="Body"/>
        <w:jc w:val="both"/>
        <w:rPr>
          <w:b/>
          <w:bCs/>
          <w:lang w:val="es-NI" w:eastAsia="en-GB"/>
        </w:rPr>
      </w:pPr>
      <w:r w:rsidRPr="00772443">
        <w:rPr>
          <w:lang w:val="es-NI" w:eastAsia="en-GB" w:bidi="es-ES"/>
        </w:rPr>
        <w:t xml:space="preserve">Por lo general, al diseñar el proceso de consulta es recomendable asegurarse de cumplir los siguientes </w:t>
      </w:r>
      <w:r w:rsidRPr="00772443">
        <w:rPr>
          <w:i/>
          <w:lang w:val="es-NI" w:eastAsia="en-GB" w:bidi="es-ES"/>
        </w:rPr>
        <w:t>criterios</w:t>
      </w:r>
      <w:r w:rsidRPr="00772443">
        <w:rPr>
          <w:vertAlign w:val="superscript"/>
          <w:lang w:val="es-NI" w:eastAsia="en-GB" w:bidi="es-ES"/>
        </w:rPr>
        <w:footnoteReference w:id="3"/>
      </w:r>
      <w:r w:rsidRPr="00772443">
        <w:rPr>
          <w:lang w:val="es-NI" w:eastAsia="en-GB" w:bidi="es-ES"/>
        </w:rPr>
        <w:t>:</w:t>
      </w:r>
    </w:p>
    <w:p w14:paraId="401682AE" w14:textId="77777777" w:rsidR="001060F0" w:rsidRPr="00772443" w:rsidRDefault="001060F0" w:rsidP="00772443">
      <w:pPr>
        <w:pStyle w:val="Body"/>
        <w:numPr>
          <w:ilvl w:val="0"/>
          <w:numId w:val="31"/>
        </w:numPr>
        <w:spacing w:after="120"/>
        <w:ind w:left="714" w:hanging="357"/>
        <w:jc w:val="both"/>
        <w:rPr>
          <w:lang w:val="es-NI" w:eastAsia="en-GB"/>
        </w:rPr>
      </w:pPr>
      <w:r w:rsidRPr="00772443">
        <w:rPr>
          <w:b/>
          <w:lang w:val="es-NI" w:eastAsia="en-GB" w:bidi="es-ES"/>
        </w:rPr>
        <w:t xml:space="preserve">Inclusión: </w:t>
      </w:r>
      <w:r w:rsidRPr="00772443">
        <w:rPr>
          <w:lang w:val="es-NI" w:eastAsia="en-GB" w:bidi="es-ES"/>
        </w:rPr>
        <w:t>con el fin de velar por que la respuesta del país a la encuesta se base en una participación representativa de todos los grupos de partes interesadas pertinentes, se debería invitar a participar en las consultas a una amplia gama de partes interesadas, atendiendo a las orientaciones proporcionadas en la sección anterior sobre “Participación de las partes interesadas”</w:t>
      </w:r>
      <w:r w:rsidRPr="00772443">
        <w:rPr>
          <w:vertAlign w:val="superscript"/>
          <w:lang w:val="es-NI" w:eastAsia="en-GB" w:bidi="es-ES"/>
        </w:rPr>
        <w:footnoteReference w:id="4"/>
      </w:r>
      <w:r w:rsidRPr="00772443">
        <w:rPr>
          <w:b/>
          <w:lang w:val="es-NI" w:eastAsia="en-GB" w:bidi="es-ES"/>
        </w:rPr>
        <w:t>.</w:t>
      </w:r>
    </w:p>
    <w:p w14:paraId="3AA02AB9" w14:textId="77777777" w:rsidR="001060F0" w:rsidRPr="00772443" w:rsidRDefault="001060F0" w:rsidP="00772443">
      <w:pPr>
        <w:pStyle w:val="Body"/>
        <w:numPr>
          <w:ilvl w:val="0"/>
          <w:numId w:val="31"/>
        </w:numPr>
        <w:spacing w:after="120"/>
        <w:ind w:left="714" w:hanging="357"/>
        <w:jc w:val="both"/>
        <w:rPr>
          <w:lang w:val="es-NI" w:eastAsia="en-GB"/>
        </w:rPr>
      </w:pPr>
      <w:r w:rsidRPr="00772443">
        <w:rPr>
          <w:b/>
          <w:lang w:val="es-NI" w:eastAsia="en-GB" w:bidi="es-ES"/>
        </w:rPr>
        <w:t xml:space="preserve">Equidad de los procedimientos: </w:t>
      </w:r>
      <w:r w:rsidRPr="00772443">
        <w:rPr>
          <w:lang w:val="es-NI" w:eastAsia="en-GB" w:bidi="es-ES"/>
        </w:rPr>
        <w:t>es esencial que cada participante pueda expresar su opinión de manera equitativa y, a su vez, tenga la capacidad genuina de influir sobre los resultados finales. Esto puede lograrse, por ejemplo, haciendo llegar la información con antelación a las partes interesadas y organizando reuniones previas a los talleres para familiarizar a quienes no son expertos con la jerga y los términos técnicos. También resulta importante velar por que todos los participantes dispongan del espacio y el tiempo necesarios para expresar su opinión en la consulta por medio de formatos específicos, como las sesiones por grupos de trabajo.</w:t>
      </w:r>
    </w:p>
    <w:p w14:paraId="2D93C90F" w14:textId="3E1B54FF" w:rsidR="001060F0" w:rsidRPr="00772443" w:rsidRDefault="001060F0" w:rsidP="00772443">
      <w:pPr>
        <w:pStyle w:val="Body"/>
        <w:numPr>
          <w:ilvl w:val="0"/>
          <w:numId w:val="31"/>
        </w:numPr>
        <w:spacing w:after="120"/>
        <w:ind w:left="714" w:hanging="357"/>
        <w:jc w:val="both"/>
        <w:rPr>
          <w:lang w:val="es-NI" w:eastAsia="en-GB"/>
        </w:rPr>
      </w:pPr>
      <w:r w:rsidRPr="00772443">
        <w:rPr>
          <w:b/>
          <w:lang w:val="es-NI" w:eastAsia="en-GB" w:bidi="es-ES"/>
        </w:rPr>
        <w:t>Acuerdo por consenso:</w:t>
      </w:r>
      <w:r w:rsidRPr="00772443">
        <w:rPr>
          <w:lang w:val="es-NI" w:eastAsia="en-GB" w:bidi="es-ES"/>
        </w:rPr>
        <w:t xml:space="preserve"> es fundamental que todas las personas tengan la oportunidad de hablar, criticar y aportar nuevos argumentos o información a los debates en un entorno propicio, para lo cual el papel del facilitador es esencial. Los ejercicios de fomento de la confianza (como los destinados a romper el hielo o activar a los participantes), los debates de coordinadores seguidos de sesiones de observaciones y </w:t>
      </w:r>
      <w:r w:rsidRPr="00772443">
        <w:rPr>
          <w:lang w:val="es-NI" w:eastAsia="en-GB" w:bidi="es-ES"/>
        </w:rPr>
        <w:lastRenderedPageBreak/>
        <w:t xml:space="preserve">comentarios o los métodos creativos de estructuración de problemas, como ejercicios de abstracción y creación de una visión o los basados en el método de </w:t>
      </w:r>
      <w:hyperlink r:id="rId49" w:history="1">
        <w:proofErr w:type="spellStart"/>
        <w:r w:rsidRPr="00772443">
          <w:rPr>
            <w:rStyle w:val="Hyperlink"/>
            <w:lang w:val="es-NI" w:eastAsia="en-GB" w:bidi="es-ES"/>
          </w:rPr>
          <w:t>Liberating</w:t>
        </w:r>
        <w:proofErr w:type="spellEnd"/>
        <w:r w:rsidRPr="00772443">
          <w:rPr>
            <w:rStyle w:val="Hyperlink"/>
            <w:lang w:val="es-NI" w:eastAsia="en-GB" w:bidi="es-ES"/>
          </w:rPr>
          <w:t xml:space="preserve"> </w:t>
        </w:r>
        <w:proofErr w:type="spellStart"/>
        <w:r w:rsidRPr="00772443">
          <w:rPr>
            <w:rStyle w:val="Hyperlink"/>
            <w:lang w:val="es-NI" w:eastAsia="en-GB" w:bidi="es-ES"/>
          </w:rPr>
          <w:t>Structures</w:t>
        </w:r>
        <w:proofErr w:type="spellEnd"/>
      </w:hyperlink>
      <w:r w:rsidRPr="00772443">
        <w:rPr>
          <w:lang w:val="es-NI" w:eastAsia="en-GB" w:bidi="es-ES"/>
        </w:rPr>
        <w:t>, pueden ser instrumentos útiles para fortalecer este aspecto.</w:t>
      </w:r>
    </w:p>
    <w:p w14:paraId="199513BA" w14:textId="626E78C9" w:rsidR="001060F0" w:rsidRPr="00772443" w:rsidRDefault="001060F0" w:rsidP="00772443">
      <w:pPr>
        <w:pStyle w:val="Body"/>
        <w:numPr>
          <w:ilvl w:val="0"/>
          <w:numId w:val="31"/>
        </w:numPr>
        <w:spacing w:after="120"/>
        <w:ind w:left="714" w:hanging="357"/>
        <w:jc w:val="both"/>
        <w:rPr>
          <w:lang w:val="es-NI" w:eastAsia="en-GB"/>
        </w:rPr>
      </w:pPr>
      <w:r w:rsidRPr="00772443">
        <w:rPr>
          <w:b/>
          <w:lang w:val="es-NI" w:eastAsia="en-GB" w:bidi="es-ES"/>
        </w:rPr>
        <w:t>Transparencia:</w:t>
      </w:r>
      <w:r w:rsidRPr="00772443">
        <w:rPr>
          <w:lang w:val="es-NI" w:eastAsia="en-GB" w:bidi="es-ES"/>
        </w:rPr>
        <w:t xml:space="preserve"> la información debería ponerse a disposición de todas las partes interesadas y se debería permitir que todas ellas, independientemente de si participaron o no en el taller, tengan acceso a la información antes de la consulta, así como a un informe detallado de los debates mantenidos y los resultados acordados. Los informes sobre los talleres con las partes interesadas son un modo excelente de documentar los procesos nacionales a los efectos de la transparencia y para poder consultarlos en el futuro (en el </w:t>
      </w:r>
      <w:hyperlink r:id="rId50" w:history="1">
        <w:r w:rsidRPr="00772443">
          <w:rPr>
            <w:rStyle w:val="Hyperlink"/>
            <w:i/>
            <w:lang w:val="es-NI" w:eastAsia="en-GB" w:bidi="es-ES"/>
          </w:rPr>
          <w:t>anexo 3</w:t>
        </w:r>
      </w:hyperlink>
      <w:r w:rsidRPr="00772443">
        <w:rPr>
          <w:lang w:val="es-NI" w:eastAsia="en-GB" w:bidi="es-ES"/>
        </w:rPr>
        <w:t xml:space="preserve"> figura un modelo).</w:t>
      </w:r>
    </w:p>
    <w:p w14:paraId="7299B7FB" w14:textId="072280CB" w:rsidR="00342022" w:rsidRPr="00772443" w:rsidRDefault="001060F0" w:rsidP="001060F0">
      <w:pPr>
        <w:pStyle w:val="Body"/>
        <w:jc w:val="both"/>
        <w:rPr>
          <w:rFonts w:ascii="Times New Roman" w:hAnsi="Times New Roman" w:cs="Times New Roman"/>
          <w:lang w:val="es-NI"/>
        </w:rPr>
      </w:pPr>
      <w:r w:rsidRPr="00772443">
        <w:rPr>
          <w:lang w:val="es-NI" w:eastAsia="en-GB" w:bidi="es-ES"/>
        </w:rPr>
        <w:t>La tabla que se ofrece a continuación presenta una visión general práctica de las ventajas y desventajas de los enfoques de participación de las partes interesadas sobre la base de los datos acumulados en la ronda anterior de consultas con las partes interesadas a los efectos del monitoreo del indicador 6.5.1 de los ODS.</w:t>
      </w:r>
      <w:r w:rsidR="00342022" w:rsidRPr="00772443">
        <w:rPr>
          <w:rFonts w:ascii="Times New Roman" w:hAnsi="Times New Roman" w:cs="Times New Roman"/>
          <w:lang w:val="es-NI"/>
        </w:rPr>
        <w:t xml:space="preserve"> </w:t>
      </w:r>
    </w:p>
    <w:tbl>
      <w:tblPr>
        <w:tblStyle w:val="GridTable1Light-Accent1"/>
        <w:tblW w:w="9360" w:type="dxa"/>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514"/>
        <w:gridCol w:w="3826"/>
        <w:gridCol w:w="4020"/>
      </w:tblGrid>
      <w:tr w:rsidR="001060F0" w:rsidRPr="00772443" w14:paraId="07F0FA6A" w14:textId="77777777" w:rsidTr="0077244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514" w:type="dxa"/>
            <w:tcBorders>
              <w:bottom w:val="none" w:sz="0" w:space="0" w:color="auto"/>
            </w:tcBorders>
            <w:shd w:val="clear" w:color="auto" w:fill="12354E" w:themeFill="accent1" w:themeFillShade="BF"/>
          </w:tcPr>
          <w:p w14:paraId="28F99319" w14:textId="77777777" w:rsidR="001060F0" w:rsidRPr="00772443" w:rsidRDefault="001060F0" w:rsidP="00772443">
            <w:pPr>
              <w:spacing w:after="120"/>
              <w:rPr>
                <w:rFonts w:eastAsiaTheme="minorEastAsia"/>
                <w:iCs/>
                <w:color w:val="FFFFFF" w:themeColor="background1"/>
                <w:sz w:val="24"/>
                <w:szCs w:val="20"/>
                <w:lang w:val="es-NI"/>
              </w:rPr>
            </w:pPr>
            <w:r w:rsidRPr="00772443">
              <w:rPr>
                <w:rFonts w:eastAsiaTheme="minorEastAsia"/>
                <w:iCs/>
                <w:color w:val="FFFFFF" w:themeColor="background1"/>
                <w:sz w:val="24"/>
                <w:szCs w:val="20"/>
                <w:lang w:val="es-NI" w:bidi="es-ES"/>
              </w:rPr>
              <w:t>Enfoque</w:t>
            </w:r>
          </w:p>
        </w:tc>
        <w:tc>
          <w:tcPr>
            <w:tcW w:w="3826" w:type="dxa"/>
            <w:tcBorders>
              <w:bottom w:val="none" w:sz="0" w:space="0" w:color="auto"/>
            </w:tcBorders>
            <w:shd w:val="clear" w:color="auto" w:fill="12354E" w:themeFill="accent1" w:themeFillShade="BF"/>
          </w:tcPr>
          <w:p w14:paraId="098CE926" w14:textId="77777777" w:rsidR="001060F0" w:rsidRPr="00772443" w:rsidRDefault="001060F0" w:rsidP="00772443">
            <w:pPr>
              <w:spacing w:after="120"/>
              <w:cnfStyle w:val="100000000000" w:firstRow="1" w:lastRow="0" w:firstColumn="0" w:lastColumn="0" w:oddVBand="0" w:evenVBand="0" w:oddHBand="0" w:evenHBand="0" w:firstRowFirstColumn="0" w:firstRowLastColumn="0" w:lastRowFirstColumn="0" w:lastRowLastColumn="0"/>
              <w:rPr>
                <w:rFonts w:eastAsiaTheme="minorEastAsia"/>
                <w:iCs/>
                <w:color w:val="FFFFFF" w:themeColor="background1"/>
                <w:sz w:val="24"/>
                <w:szCs w:val="20"/>
                <w:lang w:val="es-NI"/>
              </w:rPr>
            </w:pPr>
            <w:r w:rsidRPr="00772443">
              <w:rPr>
                <w:rFonts w:eastAsiaTheme="minorEastAsia"/>
                <w:iCs/>
                <w:color w:val="FFFFFF" w:themeColor="background1"/>
                <w:sz w:val="24"/>
                <w:szCs w:val="20"/>
                <w:lang w:val="es-NI" w:bidi="es-ES"/>
              </w:rPr>
              <w:t>Ventajas</w:t>
            </w:r>
          </w:p>
        </w:tc>
        <w:tc>
          <w:tcPr>
            <w:tcW w:w="4020" w:type="dxa"/>
            <w:tcBorders>
              <w:bottom w:val="none" w:sz="0" w:space="0" w:color="auto"/>
            </w:tcBorders>
            <w:shd w:val="clear" w:color="auto" w:fill="0C2334" w:themeFill="accent1" w:themeFillShade="80"/>
          </w:tcPr>
          <w:p w14:paraId="7DD8F9B8" w14:textId="77777777" w:rsidR="001060F0" w:rsidRPr="00772443" w:rsidRDefault="001060F0" w:rsidP="00772443">
            <w:pPr>
              <w:spacing w:after="120"/>
              <w:cnfStyle w:val="100000000000" w:firstRow="1"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Desventajas</w:t>
            </w:r>
          </w:p>
        </w:tc>
      </w:tr>
      <w:tr w:rsidR="001060F0" w:rsidRPr="00772443" w14:paraId="049B41B2" w14:textId="77777777" w:rsidTr="00772443">
        <w:trPr>
          <w:trHeight w:val="300"/>
        </w:trPr>
        <w:tc>
          <w:tcPr>
            <w:cnfStyle w:val="001000000000" w:firstRow="0" w:lastRow="0" w:firstColumn="1" w:lastColumn="0" w:oddVBand="0" w:evenVBand="0" w:oddHBand="0" w:evenHBand="0" w:firstRowFirstColumn="0" w:firstRowLastColumn="0" w:lastRowFirstColumn="0" w:lastRowLastColumn="0"/>
            <w:tcW w:w="1514" w:type="dxa"/>
          </w:tcPr>
          <w:p w14:paraId="42C35DA5" w14:textId="77777777" w:rsidR="001060F0" w:rsidRPr="00772443" w:rsidRDefault="001060F0" w:rsidP="00772443">
            <w:pPr>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Participación en línea</w:t>
            </w:r>
          </w:p>
          <w:p w14:paraId="5BEC5210" w14:textId="77777777" w:rsidR="001060F0" w:rsidRPr="00772443" w:rsidRDefault="001060F0" w:rsidP="00772443">
            <w:pPr>
              <w:rPr>
                <w:rFonts w:eastAsiaTheme="minorEastAsia"/>
                <w:iCs/>
                <w:color w:val="12354E" w:themeColor="accent1" w:themeShade="BF"/>
                <w:sz w:val="24"/>
                <w:szCs w:val="20"/>
                <w:lang w:val="es-NI"/>
              </w:rPr>
            </w:pPr>
          </w:p>
        </w:tc>
        <w:tc>
          <w:tcPr>
            <w:tcW w:w="3826" w:type="dxa"/>
          </w:tcPr>
          <w:p w14:paraId="141528D3" w14:textId="77777777" w:rsidR="001060F0" w:rsidRPr="00772443" w:rsidRDefault="001060F0" w:rsidP="00772443">
            <w:pPr>
              <w:numPr>
                <w:ilvl w:val="0"/>
                <w:numId w:val="8"/>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mayor facilidad de llegar a las partes interesadas, lo que permite una participación más amplia, incluida la de partes interesadas subnacionales (p. ej., aquellas establecidas fuera de las capitales);</w:t>
            </w:r>
          </w:p>
          <w:p w14:paraId="0ACBE78B" w14:textId="77777777" w:rsidR="001060F0" w:rsidRPr="00772443" w:rsidRDefault="001060F0" w:rsidP="00772443">
            <w:pPr>
              <w:numPr>
                <w:ilvl w:val="0"/>
                <w:numId w:val="8"/>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rentabilidad.</w:t>
            </w:r>
          </w:p>
        </w:tc>
        <w:tc>
          <w:tcPr>
            <w:tcW w:w="4020" w:type="dxa"/>
          </w:tcPr>
          <w:p w14:paraId="4B7E7E83"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no permite examinar exhaustivamente los temas debido a la limitación de tiempo;</w:t>
            </w:r>
          </w:p>
          <w:p w14:paraId="4EC83836"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el acceso digital es el principal factor que impide la participación;</w:t>
            </w:r>
          </w:p>
          <w:p w14:paraId="72215A8A"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menor capacidad de alentar debates constructivos, y puede exigir la presencia de más moderadores.</w:t>
            </w:r>
          </w:p>
        </w:tc>
      </w:tr>
      <w:tr w:rsidR="001060F0" w:rsidRPr="00772443" w14:paraId="2887D95F" w14:textId="77777777" w:rsidTr="00772443">
        <w:trPr>
          <w:trHeight w:val="300"/>
        </w:trPr>
        <w:tc>
          <w:tcPr>
            <w:cnfStyle w:val="001000000000" w:firstRow="0" w:lastRow="0" w:firstColumn="1" w:lastColumn="0" w:oddVBand="0" w:evenVBand="0" w:oddHBand="0" w:evenHBand="0" w:firstRowFirstColumn="0" w:firstRowLastColumn="0" w:lastRowFirstColumn="0" w:lastRowLastColumn="0"/>
            <w:tcW w:w="1514" w:type="dxa"/>
          </w:tcPr>
          <w:p w14:paraId="5333E9F5" w14:textId="77777777" w:rsidR="001060F0" w:rsidRPr="00772443" w:rsidRDefault="001060F0" w:rsidP="00772443">
            <w:pPr>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Participación presencial</w:t>
            </w:r>
          </w:p>
        </w:tc>
        <w:tc>
          <w:tcPr>
            <w:tcW w:w="3826" w:type="dxa"/>
          </w:tcPr>
          <w:p w14:paraId="09A340DC"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posiblemente un procedimiento de participación más equitativo;</w:t>
            </w:r>
          </w:p>
          <w:p w14:paraId="56FBFE21"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brinda más oportunidades de alcanzar el consenso y atraer la atención de todas las partes interesadas;</w:t>
            </w:r>
          </w:p>
          <w:p w14:paraId="1C511966"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más propicio para realizar exámenes exhaustivos.</w:t>
            </w:r>
          </w:p>
        </w:tc>
        <w:tc>
          <w:tcPr>
            <w:tcW w:w="4020" w:type="dxa"/>
          </w:tcPr>
          <w:p w14:paraId="6E4816A0"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posibles inconvenientes en términos de inclusión (costos económicos y tiempo necesario);</w:t>
            </w:r>
          </w:p>
          <w:p w14:paraId="5E98D748" w14:textId="77777777" w:rsidR="001060F0" w:rsidRPr="00772443" w:rsidRDefault="001060F0" w:rsidP="00772443">
            <w:pPr>
              <w:numPr>
                <w:ilvl w:val="0"/>
                <w:numId w:val="9"/>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el nivel de transparencia depende del facilitador y el coordinador, por ejemplo, si algunos segmentos del acto o proceso están abiertos únicamente para un determinado grupo de partes interesadas o si las aportaciones se recaban de forma diferente.</w:t>
            </w:r>
          </w:p>
        </w:tc>
      </w:tr>
      <w:tr w:rsidR="001060F0" w:rsidRPr="00772443" w14:paraId="1E8253E9" w14:textId="77777777" w:rsidTr="00772443">
        <w:trPr>
          <w:trHeight w:val="300"/>
        </w:trPr>
        <w:tc>
          <w:tcPr>
            <w:cnfStyle w:val="001000000000" w:firstRow="0" w:lastRow="0" w:firstColumn="1" w:lastColumn="0" w:oddVBand="0" w:evenVBand="0" w:oddHBand="0" w:evenHBand="0" w:firstRowFirstColumn="0" w:firstRowLastColumn="0" w:lastRowFirstColumn="0" w:lastRowLastColumn="0"/>
            <w:tcW w:w="1514" w:type="dxa"/>
          </w:tcPr>
          <w:p w14:paraId="7EAAE0C8" w14:textId="77777777" w:rsidR="001060F0" w:rsidRPr="00772443" w:rsidRDefault="001060F0" w:rsidP="00772443">
            <w:pPr>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Combinado</w:t>
            </w:r>
          </w:p>
        </w:tc>
        <w:tc>
          <w:tcPr>
            <w:tcW w:w="3826" w:type="dxa"/>
          </w:tcPr>
          <w:p w14:paraId="7C7E5F99" w14:textId="77777777" w:rsidR="001060F0" w:rsidRPr="00772443" w:rsidRDefault="001060F0" w:rsidP="00772443">
            <w:pPr>
              <w:numPr>
                <w:ilvl w:val="0"/>
                <w:numId w:val="10"/>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t>puede ser el enfoque más completo para generar y recabar aportaciones de las partes interesadas;</w:t>
            </w:r>
          </w:p>
          <w:p w14:paraId="17267608" w14:textId="77777777" w:rsidR="001060F0" w:rsidRPr="00772443" w:rsidRDefault="001060F0" w:rsidP="00772443">
            <w:pPr>
              <w:numPr>
                <w:ilvl w:val="0"/>
                <w:numId w:val="10"/>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lastRenderedPageBreak/>
              <w:t>puede utilizarse para ampliar la inclusión de las partes interesadas cuando algunas no pueden asistir presencialmente, y se puede llegar a un acuerdo por consenso mediante un enfoque de dos pasos.</w:t>
            </w:r>
          </w:p>
        </w:tc>
        <w:tc>
          <w:tcPr>
            <w:tcW w:w="4020" w:type="dxa"/>
          </w:tcPr>
          <w:p w14:paraId="398AD7B7" w14:textId="77777777" w:rsidR="001060F0" w:rsidRPr="00772443" w:rsidRDefault="001060F0" w:rsidP="00772443">
            <w:pPr>
              <w:numPr>
                <w:ilvl w:val="0"/>
                <w:numId w:val="10"/>
              </w:numPr>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es-NI"/>
              </w:rPr>
            </w:pPr>
            <w:r w:rsidRPr="00772443">
              <w:rPr>
                <w:rFonts w:eastAsiaTheme="minorEastAsia"/>
                <w:iCs/>
                <w:color w:val="12354E" w:themeColor="accent1" w:themeShade="BF"/>
                <w:sz w:val="24"/>
                <w:szCs w:val="20"/>
                <w:lang w:val="es-NI" w:bidi="es-ES"/>
              </w:rPr>
              <w:lastRenderedPageBreak/>
              <w:t xml:space="preserve">posibles problemas de equidad de los procedimientos, ya que puede ser que las aportaciones de los </w:t>
            </w:r>
            <w:r w:rsidRPr="00772443">
              <w:rPr>
                <w:rFonts w:eastAsiaTheme="minorEastAsia"/>
                <w:iCs/>
                <w:color w:val="12354E" w:themeColor="accent1" w:themeShade="BF"/>
                <w:sz w:val="24"/>
                <w:szCs w:val="20"/>
                <w:lang w:val="es-NI" w:bidi="es-ES"/>
              </w:rPr>
              <w:lastRenderedPageBreak/>
              <w:t>participantes presenciales prevalezcan sobre las de quienes asisten en remoto.</w:t>
            </w:r>
          </w:p>
        </w:tc>
      </w:tr>
    </w:tbl>
    <w:p w14:paraId="6351859F" w14:textId="08CD4C44" w:rsidR="00342022" w:rsidRPr="00772443" w:rsidRDefault="001060F0" w:rsidP="001060F0">
      <w:pPr>
        <w:spacing w:before="120"/>
        <w:jc w:val="both"/>
        <w:rPr>
          <w:rFonts w:eastAsiaTheme="minorEastAsia"/>
          <w:i/>
          <w:iCs/>
          <w:color w:val="12354E" w:themeColor="accent1" w:themeShade="BF"/>
          <w:sz w:val="20"/>
          <w:szCs w:val="20"/>
          <w:lang w:val="es-NI"/>
        </w:rPr>
      </w:pPr>
      <w:r w:rsidRPr="00772443">
        <w:rPr>
          <w:rFonts w:eastAsiaTheme="minorEastAsia"/>
          <w:i/>
          <w:iCs/>
          <w:color w:val="12354E" w:themeColor="accent1" w:themeShade="BF"/>
          <w:sz w:val="20"/>
          <w:szCs w:val="20"/>
          <w:lang w:val="es-NI" w:bidi="es-ES"/>
        </w:rPr>
        <w:lastRenderedPageBreak/>
        <w:t>Tabla 2: Visión general de las ventajas y desventajas de distintas modalidades de participación de las partes interesadas</w:t>
      </w:r>
      <w:r w:rsidRPr="00772443">
        <w:rPr>
          <w:rFonts w:eastAsiaTheme="minorEastAsia"/>
          <w:i/>
          <w:iCs/>
          <w:color w:val="12354E" w:themeColor="accent1" w:themeShade="BF"/>
          <w:sz w:val="20"/>
          <w:szCs w:val="20"/>
          <w:vertAlign w:val="superscript"/>
          <w:lang w:val="es-NI" w:bidi="es-ES"/>
        </w:rPr>
        <w:footnoteReference w:id="5"/>
      </w:r>
    </w:p>
    <w:p w14:paraId="6393BDF9" w14:textId="77777777" w:rsidR="00D57092" w:rsidRPr="00772443" w:rsidRDefault="00D57092" w:rsidP="00357599">
      <w:pPr>
        <w:pStyle w:val="Body"/>
        <w:jc w:val="both"/>
        <w:rPr>
          <w:rFonts w:cstheme="minorHAnsi"/>
          <w:b/>
          <w:bCs/>
          <w:lang w:val="es-NI"/>
        </w:rPr>
      </w:pPr>
    </w:p>
    <w:p w14:paraId="30EDE204" w14:textId="71E2B31D" w:rsidR="00D57092" w:rsidRPr="00772443" w:rsidRDefault="001060F0" w:rsidP="00D57092">
      <w:pPr>
        <w:spacing w:after="240"/>
        <w:rPr>
          <w:color w:val="12354E" w:themeColor="accent1" w:themeShade="BF"/>
          <w:lang w:val="es-NI"/>
        </w:rPr>
      </w:pPr>
      <w:r w:rsidRPr="00772443">
        <w:rPr>
          <w:color w:val="12354E" w:themeColor="accent1" w:themeShade="BF"/>
          <w:lang w:val="es-NI" w:bidi="es-ES"/>
        </w:rPr>
        <w:t>El recuadro 1 ofrece ejemplos y enseñanzas extraídas de las consultas nacionales celebradas en la ronda de monitoreo del indicador 6.5.1 de los ODS que tuvo lugar en 2020</w:t>
      </w:r>
      <w:r w:rsidR="00D57092" w:rsidRPr="00772443">
        <w:rPr>
          <w:color w:val="12354E" w:themeColor="accent1" w:themeShade="BF"/>
          <w:lang w:val="es-NI"/>
        </w:rPr>
        <w:t>.</w:t>
      </w:r>
    </w:p>
    <w:p w14:paraId="43A6C941" w14:textId="0BD9CFA4" w:rsidR="001060F0" w:rsidRPr="00772443" w:rsidRDefault="001060F0" w:rsidP="00D57092">
      <w:pPr>
        <w:spacing w:after="240"/>
        <w:rPr>
          <w:color w:val="12354E" w:themeColor="accent1" w:themeShade="BF"/>
          <w:lang w:val="es-NI"/>
        </w:rPr>
      </w:pPr>
      <w:r w:rsidRPr="00772443">
        <w:rPr>
          <w:noProof/>
          <w:lang w:val="es-NI"/>
        </w:rPr>
        <mc:AlternateContent>
          <mc:Choice Requires="wps">
            <w:drawing>
              <wp:inline distT="0" distB="0" distL="0" distR="0" wp14:anchorId="3DFF83A5" wp14:editId="36DA6EC9">
                <wp:extent cx="5605272" cy="4429125"/>
                <wp:effectExtent l="0" t="0" r="0" b="9525"/>
                <wp:docPr id="7" name="Text Box 7"/>
                <wp:cNvGraphicFramePr/>
                <a:graphic xmlns:a="http://schemas.openxmlformats.org/drawingml/2006/main">
                  <a:graphicData uri="http://schemas.microsoft.com/office/word/2010/wordprocessingShape">
                    <wps:wsp>
                      <wps:cNvSpPr txBox="1"/>
                      <wps:spPr>
                        <a:xfrm>
                          <a:off x="0" y="0"/>
                          <a:ext cx="5605272" cy="4429125"/>
                        </a:xfrm>
                        <a:prstGeom prst="rect">
                          <a:avLst/>
                        </a:prstGeom>
                        <a:solidFill>
                          <a:schemeClr val="accent4">
                            <a:lumMod val="20000"/>
                            <a:lumOff val="80000"/>
                          </a:schemeClr>
                        </a:solidFill>
                        <a:ln w="6350">
                          <a:noFill/>
                        </a:ln>
                      </wps:spPr>
                      <wps:txbx>
                        <w:txbxContent>
                          <w:p w14:paraId="70839AE0"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Indonesia: enfoque de múltiples actos en línea</w:t>
                            </w:r>
                          </w:p>
                          <w:p w14:paraId="03D98288"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alto grado de inclusión de las partes interesadas, pues hubo 50 participantes;</w:t>
                            </w:r>
                          </w:p>
                          <w:p w14:paraId="4A715853"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 xml:space="preserve">el proceso de consulta estuvo respaldado por Indonesia Water </w:t>
                            </w:r>
                            <w:proofErr w:type="spellStart"/>
                            <w:r w:rsidRPr="001060F0">
                              <w:rPr>
                                <w:color w:val="44546A" w:themeColor="text2"/>
                                <w:lang w:val="es-ES"/>
                              </w:rPr>
                              <w:t>Partnership</w:t>
                            </w:r>
                            <w:proofErr w:type="spellEnd"/>
                            <w:r w:rsidRPr="001060F0">
                              <w:rPr>
                                <w:color w:val="44546A" w:themeColor="text2"/>
                                <w:lang w:val="es-ES"/>
                              </w:rPr>
                              <w:t xml:space="preserve"> (</w:t>
                            </w:r>
                            <w:proofErr w:type="spellStart"/>
                            <w:r w:rsidRPr="001060F0">
                              <w:rPr>
                                <w:color w:val="44546A" w:themeColor="text2"/>
                                <w:lang w:val="es-ES"/>
                              </w:rPr>
                              <w:t>InaWP</w:t>
                            </w:r>
                            <w:proofErr w:type="spellEnd"/>
                            <w:r w:rsidRPr="001060F0">
                              <w:rPr>
                                <w:color w:val="44546A" w:themeColor="text2"/>
                                <w:lang w:val="es-ES"/>
                              </w:rPr>
                              <w:t>);</w:t>
                            </w:r>
                          </w:p>
                          <w:p w14:paraId="7956357A" w14:textId="2F220422" w:rsidR="001060F0" w:rsidRPr="001060F0" w:rsidRDefault="001060F0" w:rsidP="001060F0">
                            <w:pPr>
                              <w:numPr>
                                <w:ilvl w:val="0"/>
                                <w:numId w:val="11"/>
                              </w:numPr>
                              <w:jc w:val="both"/>
                              <w:rPr>
                                <w:color w:val="44546A" w:themeColor="text2"/>
                                <w:lang w:val="es-ES"/>
                              </w:rPr>
                            </w:pPr>
                            <w:r w:rsidRPr="001060F0">
                              <w:rPr>
                                <w:color w:val="44546A" w:themeColor="text2"/>
                                <w:lang w:val="es-ES"/>
                              </w:rPr>
                              <w:t xml:space="preserve">los participantes enviaron sus puntuaciones mediante un formulario de Google antes de los talleres, e </w:t>
                            </w:r>
                            <w:proofErr w:type="spellStart"/>
                            <w:r w:rsidRPr="001060F0">
                              <w:rPr>
                                <w:color w:val="44546A" w:themeColor="text2"/>
                                <w:lang w:val="es-ES"/>
                              </w:rPr>
                              <w:t>InaWP</w:t>
                            </w:r>
                            <w:proofErr w:type="spellEnd"/>
                            <w:r w:rsidRPr="001060F0">
                              <w:rPr>
                                <w:color w:val="44546A" w:themeColor="text2"/>
                                <w:lang w:val="es-ES"/>
                              </w:rPr>
                              <w:t xml:space="preserve"> se encargó de consolidarlas (ya están disponibles las herramientas en línea para la encuesta sobre la GIRH, véase el </w:t>
                            </w:r>
                            <w:hyperlink r:id="rId51" w:history="1">
                              <w:r w:rsidRPr="00B0018E">
                                <w:rPr>
                                  <w:rStyle w:val="Hyperlink"/>
                                  <w:lang w:val="es-ES"/>
                                </w:rPr>
                                <w:t>anexo 1</w:t>
                              </w:r>
                            </w:hyperlink>
                            <w:r w:rsidRPr="001060F0">
                              <w:rPr>
                                <w:color w:val="44546A" w:themeColor="text2"/>
                                <w:lang w:val="es-ES"/>
                              </w:rPr>
                              <w:t>);</w:t>
                            </w:r>
                          </w:p>
                          <w:p w14:paraId="7B4E748A" w14:textId="1EFA42B7" w:rsidR="001060F0" w:rsidRPr="00772443" w:rsidRDefault="001060F0" w:rsidP="001060F0">
                            <w:pPr>
                              <w:numPr>
                                <w:ilvl w:val="0"/>
                                <w:numId w:val="11"/>
                              </w:numPr>
                              <w:jc w:val="both"/>
                              <w:rPr>
                                <w:b/>
                                <w:bCs/>
                                <w:color w:val="44546A" w:themeColor="text2"/>
                                <w:lang w:val="es-ES"/>
                              </w:rPr>
                            </w:pPr>
                            <w:proofErr w:type="spellStart"/>
                            <w:r w:rsidRPr="001060F0">
                              <w:rPr>
                                <w:color w:val="44546A" w:themeColor="text2"/>
                                <w:lang w:val="es-ES"/>
                              </w:rPr>
                              <w:t>InaWP</w:t>
                            </w:r>
                            <w:proofErr w:type="spellEnd"/>
                            <w:r w:rsidRPr="001060F0">
                              <w:rPr>
                                <w:color w:val="44546A" w:themeColor="text2"/>
                                <w:lang w:val="es-ES"/>
                              </w:rPr>
                              <w:t xml:space="preserve"> celebró debates privados con cada una de las partes interesadas y, a continuación, organizó dos talleres en línea: uno para las partes interesadas a nivel nacional y otro para las partes interesadas a nivel de las cuencas.</w:t>
                            </w:r>
                          </w:p>
                          <w:p w14:paraId="3F798CDD" w14:textId="77777777" w:rsidR="00772443" w:rsidRDefault="00772443" w:rsidP="00772443">
                            <w:pPr>
                              <w:rPr>
                                <w:b/>
                                <w:bCs/>
                                <w:color w:val="4EB3B9" w:themeColor="accent4"/>
                                <w:sz w:val="28"/>
                                <w:szCs w:val="28"/>
                                <w:lang w:val="es-ES" w:bidi="es-ES"/>
                              </w:rPr>
                            </w:pPr>
                          </w:p>
                          <w:p w14:paraId="417113D9" w14:textId="786B17B6" w:rsidR="00772443" w:rsidRPr="001060F0" w:rsidRDefault="00772443" w:rsidP="00772443">
                            <w:pPr>
                              <w:rPr>
                                <w:b/>
                                <w:bCs/>
                                <w:color w:val="4EB3B9" w:themeColor="accent4"/>
                                <w:sz w:val="28"/>
                                <w:szCs w:val="28"/>
                                <w:lang w:val="es-ES"/>
                              </w:rPr>
                            </w:pPr>
                            <w:r w:rsidRPr="001060F0">
                              <w:rPr>
                                <w:b/>
                                <w:bCs/>
                                <w:color w:val="4EB3B9" w:themeColor="accent4"/>
                                <w:sz w:val="28"/>
                                <w:szCs w:val="28"/>
                                <w:lang w:val="es-ES" w:bidi="es-ES"/>
                              </w:rPr>
                              <w:t>Guatemala: enfoque de taller en línea (dos días)</w:t>
                            </w:r>
                          </w:p>
                          <w:p w14:paraId="2A133EEE"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 xml:space="preserve">la mayor diversidad sectorial de los cuatro </w:t>
                            </w:r>
                            <w:proofErr w:type="gramStart"/>
                            <w:r w:rsidRPr="001060F0">
                              <w:rPr>
                                <w:color w:val="44546A" w:themeColor="text2"/>
                                <w:lang w:val="es-ES"/>
                              </w:rPr>
                              <w:t>casos,</w:t>
                            </w:r>
                            <w:proofErr w:type="gramEnd"/>
                            <w:r w:rsidRPr="001060F0">
                              <w:rPr>
                                <w:color w:val="44546A" w:themeColor="text2"/>
                                <w:lang w:val="es-ES"/>
                              </w:rPr>
                              <w:t xml:space="preserve"> incluyó a 68 participantes;</w:t>
                            </w:r>
                          </w:p>
                          <w:p w14:paraId="3F620BCD"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los participantes se familiarizaron con la encuesta antes del taller en línea mediante intercambios de correos electrónicos;</w:t>
                            </w:r>
                          </w:p>
                          <w:p w14:paraId="2F6B7B0F"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se celebró un taller en línea que duró dos días, donde en primer lugar los participantes examinaron atentamente la encuesta, después cumplimentaron las puntuaciones de cada sección por grupos y por último validaron los resultados el segundo día;</w:t>
                            </w:r>
                          </w:p>
                          <w:p w14:paraId="01DE1FA8" w14:textId="319D3E48" w:rsidR="00772443" w:rsidRPr="00772443" w:rsidRDefault="00772443" w:rsidP="00772443">
                            <w:pPr>
                              <w:pStyle w:val="ListParagraph"/>
                              <w:numPr>
                                <w:ilvl w:val="0"/>
                                <w:numId w:val="11"/>
                              </w:numPr>
                              <w:rPr>
                                <w:color w:val="44546A" w:themeColor="text2"/>
                                <w:lang w:val="es-ES"/>
                              </w:rPr>
                            </w:pPr>
                            <w:r w:rsidRPr="001060F0">
                              <w:rPr>
                                <w:color w:val="44546A" w:themeColor="text2"/>
                                <w:lang w:val="es-ES"/>
                              </w:rPr>
                              <w:t>se organizó una sesión de observaciones y comentarios para comprender y resolver las diferencias.</w:t>
                            </w:r>
                          </w:p>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type w14:anchorId="3DFF83A5" id="_x0000_t202" coordsize="21600,21600" o:spt="202" path="m,l,21600r21600,l21600,xe">
                <v:stroke joinstyle="miter"/>
                <v:path gradientshapeok="t" o:connecttype="rect"/>
              </v:shapetype>
              <v:shape id="Text Box 7" o:spid="_x0000_s1026" type="#_x0000_t202" style="width:441.35pt;height:348.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" fillcolor="#dbeff1 [663]" stroked="f" strokeweight=".5pt">
                <v:textbox inset="4mm,3mm,4mm,4mm">
                  <w:txbxContent>
                    <w:p w14:paraId="70839AE0"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Indonesia: enfoque de múltiples actos en línea</w:t>
                      </w:r>
                    </w:p>
                    <w:p w14:paraId="03D98288"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alto grado de inclusión de las partes interesadas, pues hubo 50 participantes;</w:t>
                      </w:r>
                    </w:p>
                    <w:p w14:paraId="4A715853"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 xml:space="preserve">el proceso de consulta estuvo respaldado por Indonesia Water </w:t>
                      </w:r>
                      <w:proofErr w:type="spellStart"/>
                      <w:r w:rsidRPr="001060F0">
                        <w:rPr>
                          <w:color w:val="44546A" w:themeColor="text2"/>
                          <w:lang w:val="es-ES"/>
                        </w:rPr>
                        <w:t>Partnership</w:t>
                      </w:r>
                      <w:proofErr w:type="spellEnd"/>
                      <w:r w:rsidRPr="001060F0">
                        <w:rPr>
                          <w:color w:val="44546A" w:themeColor="text2"/>
                          <w:lang w:val="es-ES"/>
                        </w:rPr>
                        <w:t xml:space="preserve"> (</w:t>
                      </w:r>
                      <w:proofErr w:type="spellStart"/>
                      <w:r w:rsidRPr="001060F0">
                        <w:rPr>
                          <w:color w:val="44546A" w:themeColor="text2"/>
                          <w:lang w:val="es-ES"/>
                        </w:rPr>
                        <w:t>InaWP</w:t>
                      </w:r>
                      <w:proofErr w:type="spellEnd"/>
                      <w:r w:rsidRPr="001060F0">
                        <w:rPr>
                          <w:color w:val="44546A" w:themeColor="text2"/>
                          <w:lang w:val="es-ES"/>
                        </w:rPr>
                        <w:t>);</w:t>
                      </w:r>
                    </w:p>
                    <w:p w14:paraId="7956357A" w14:textId="2F220422" w:rsidR="001060F0" w:rsidRPr="001060F0" w:rsidRDefault="001060F0" w:rsidP="001060F0">
                      <w:pPr>
                        <w:numPr>
                          <w:ilvl w:val="0"/>
                          <w:numId w:val="11"/>
                        </w:numPr>
                        <w:jc w:val="both"/>
                        <w:rPr>
                          <w:color w:val="44546A" w:themeColor="text2"/>
                          <w:lang w:val="es-ES"/>
                        </w:rPr>
                      </w:pPr>
                      <w:r w:rsidRPr="001060F0">
                        <w:rPr>
                          <w:color w:val="44546A" w:themeColor="text2"/>
                          <w:lang w:val="es-ES"/>
                        </w:rPr>
                        <w:t xml:space="preserve">los participantes enviaron sus puntuaciones mediante un formulario de Google antes de los talleres, e </w:t>
                      </w:r>
                      <w:proofErr w:type="spellStart"/>
                      <w:r w:rsidRPr="001060F0">
                        <w:rPr>
                          <w:color w:val="44546A" w:themeColor="text2"/>
                          <w:lang w:val="es-ES"/>
                        </w:rPr>
                        <w:t>InaWP</w:t>
                      </w:r>
                      <w:proofErr w:type="spellEnd"/>
                      <w:r w:rsidRPr="001060F0">
                        <w:rPr>
                          <w:color w:val="44546A" w:themeColor="text2"/>
                          <w:lang w:val="es-ES"/>
                        </w:rPr>
                        <w:t xml:space="preserve"> se encargó de consolidarlas (ya están disponibles las herramientas en línea para la encuesta sobre la GIRH, véase el </w:t>
                      </w:r>
                      <w:hyperlink r:id="rId52" w:history="1">
                        <w:r w:rsidRPr="00B0018E">
                          <w:rPr>
                            <w:rStyle w:val="Hyperlink"/>
                            <w:lang w:val="es-ES"/>
                          </w:rPr>
                          <w:t>anexo 1</w:t>
                        </w:r>
                      </w:hyperlink>
                      <w:r w:rsidRPr="001060F0">
                        <w:rPr>
                          <w:color w:val="44546A" w:themeColor="text2"/>
                          <w:lang w:val="es-ES"/>
                        </w:rPr>
                        <w:t>);</w:t>
                      </w:r>
                    </w:p>
                    <w:p w14:paraId="7B4E748A" w14:textId="1EFA42B7" w:rsidR="001060F0" w:rsidRPr="00772443" w:rsidRDefault="001060F0" w:rsidP="001060F0">
                      <w:pPr>
                        <w:numPr>
                          <w:ilvl w:val="0"/>
                          <w:numId w:val="11"/>
                        </w:numPr>
                        <w:jc w:val="both"/>
                        <w:rPr>
                          <w:b/>
                          <w:bCs/>
                          <w:color w:val="44546A" w:themeColor="text2"/>
                          <w:lang w:val="es-ES"/>
                        </w:rPr>
                      </w:pPr>
                      <w:proofErr w:type="spellStart"/>
                      <w:r w:rsidRPr="001060F0">
                        <w:rPr>
                          <w:color w:val="44546A" w:themeColor="text2"/>
                          <w:lang w:val="es-ES"/>
                        </w:rPr>
                        <w:t>InaWP</w:t>
                      </w:r>
                      <w:proofErr w:type="spellEnd"/>
                      <w:r w:rsidRPr="001060F0">
                        <w:rPr>
                          <w:color w:val="44546A" w:themeColor="text2"/>
                          <w:lang w:val="es-ES"/>
                        </w:rPr>
                        <w:t xml:space="preserve"> celebró debates privados con cada una de las partes interesadas y, a continuación, organizó dos talleres en línea: uno para las partes interesadas a nivel nacional y otro para las partes interesadas a nivel de las cuencas.</w:t>
                      </w:r>
                    </w:p>
                    <w:p w14:paraId="3F798CDD" w14:textId="77777777" w:rsidR="00772443" w:rsidRDefault="00772443" w:rsidP="00772443">
                      <w:pPr>
                        <w:rPr>
                          <w:b/>
                          <w:bCs/>
                          <w:color w:val="4EB3B9" w:themeColor="accent4"/>
                          <w:sz w:val="28"/>
                          <w:szCs w:val="28"/>
                          <w:lang w:val="es-ES" w:bidi="es-ES"/>
                        </w:rPr>
                      </w:pPr>
                    </w:p>
                    <w:p w14:paraId="417113D9" w14:textId="786B17B6" w:rsidR="00772443" w:rsidRPr="001060F0" w:rsidRDefault="00772443" w:rsidP="00772443">
                      <w:pPr>
                        <w:rPr>
                          <w:b/>
                          <w:bCs/>
                          <w:color w:val="4EB3B9" w:themeColor="accent4"/>
                          <w:sz w:val="28"/>
                          <w:szCs w:val="28"/>
                          <w:lang w:val="es-ES"/>
                        </w:rPr>
                      </w:pPr>
                      <w:r w:rsidRPr="001060F0">
                        <w:rPr>
                          <w:b/>
                          <w:bCs/>
                          <w:color w:val="4EB3B9" w:themeColor="accent4"/>
                          <w:sz w:val="28"/>
                          <w:szCs w:val="28"/>
                          <w:lang w:val="es-ES" w:bidi="es-ES"/>
                        </w:rPr>
                        <w:t>Guatemala: enfoque de taller en línea (dos días)</w:t>
                      </w:r>
                    </w:p>
                    <w:p w14:paraId="2A133EEE"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 xml:space="preserve">la mayor diversidad sectorial de los cuatro </w:t>
                      </w:r>
                      <w:proofErr w:type="gramStart"/>
                      <w:r w:rsidRPr="001060F0">
                        <w:rPr>
                          <w:color w:val="44546A" w:themeColor="text2"/>
                          <w:lang w:val="es-ES"/>
                        </w:rPr>
                        <w:t>casos,</w:t>
                      </w:r>
                      <w:proofErr w:type="gramEnd"/>
                      <w:r w:rsidRPr="001060F0">
                        <w:rPr>
                          <w:color w:val="44546A" w:themeColor="text2"/>
                          <w:lang w:val="es-ES"/>
                        </w:rPr>
                        <w:t xml:space="preserve"> incluyó a 68 participantes;</w:t>
                      </w:r>
                    </w:p>
                    <w:p w14:paraId="3F620BCD"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los participantes se familiarizaron con la encuesta antes del taller en línea mediante intercambios de correos electrónicos;</w:t>
                      </w:r>
                    </w:p>
                    <w:p w14:paraId="2F6B7B0F" w14:textId="77777777" w:rsidR="00772443" w:rsidRPr="001060F0" w:rsidRDefault="00772443" w:rsidP="00772443">
                      <w:pPr>
                        <w:numPr>
                          <w:ilvl w:val="0"/>
                          <w:numId w:val="11"/>
                        </w:numPr>
                        <w:jc w:val="both"/>
                        <w:rPr>
                          <w:color w:val="44546A" w:themeColor="text2"/>
                          <w:lang w:val="es-ES"/>
                        </w:rPr>
                      </w:pPr>
                      <w:r w:rsidRPr="001060F0">
                        <w:rPr>
                          <w:color w:val="44546A" w:themeColor="text2"/>
                          <w:lang w:val="es-ES"/>
                        </w:rPr>
                        <w:t>se celebró un taller en línea que duró dos días, donde en primer lugar los participantes examinaron atentamente la encuesta, después cumplimentaron las puntuaciones de cada sección por grupos y por último validaron los resultados el segundo día;</w:t>
                      </w:r>
                    </w:p>
                    <w:p w14:paraId="01DE1FA8" w14:textId="319D3E48" w:rsidR="00772443" w:rsidRPr="00772443" w:rsidRDefault="00772443" w:rsidP="00772443">
                      <w:pPr>
                        <w:pStyle w:val="ListParagraph"/>
                        <w:numPr>
                          <w:ilvl w:val="0"/>
                          <w:numId w:val="11"/>
                        </w:numPr>
                        <w:rPr>
                          <w:color w:val="44546A" w:themeColor="text2"/>
                          <w:lang w:val="es-ES"/>
                        </w:rPr>
                      </w:pPr>
                      <w:r w:rsidRPr="001060F0">
                        <w:rPr>
                          <w:color w:val="44546A" w:themeColor="text2"/>
                          <w:lang w:val="es-ES"/>
                        </w:rPr>
                        <w:t>se organizó una sesión de observaciones y comentarios para comprender y resolver las diferencias.</w:t>
                      </w:r>
                    </w:p>
                  </w:txbxContent>
                </v:textbox>
                <w10:anchorlock/>
              </v:shape>
            </w:pict>
          </mc:Fallback>
        </mc:AlternateContent>
      </w:r>
    </w:p>
    <w:p w14:paraId="469A86B8" w14:textId="1F957499" w:rsidR="0090455F" w:rsidRPr="00772443" w:rsidRDefault="0090455F" w:rsidP="00D57092">
      <w:pPr>
        <w:spacing w:after="240"/>
        <w:rPr>
          <w:color w:val="12354E" w:themeColor="accent1" w:themeShade="BF"/>
          <w:lang w:val="es-NI"/>
        </w:rPr>
      </w:pPr>
      <w:r w:rsidRPr="00772443">
        <w:rPr>
          <w:noProof/>
          <w:lang w:val="es-NI"/>
        </w:rPr>
        <w:lastRenderedPageBreak/>
        <mc:AlternateContent>
          <mc:Choice Requires="wps">
            <w:drawing>
              <wp:inline distT="0" distB="0" distL="0" distR="0" wp14:anchorId="4735DE90" wp14:editId="3CD4803E">
                <wp:extent cx="5605272" cy="3752850"/>
                <wp:effectExtent l="0" t="0" r="0" b="0"/>
                <wp:docPr id="8" name="Text Box 8"/>
                <wp:cNvGraphicFramePr/>
                <a:graphic xmlns:a="http://schemas.openxmlformats.org/drawingml/2006/main">
                  <a:graphicData uri="http://schemas.microsoft.com/office/word/2010/wordprocessingShape">
                    <wps:wsp>
                      <wps:cNvSpPr txBox="1"/>
                      <wps:spPr>
                        <a:xfrm>
                          <a:off x="0" y="0"/>
                          <a:ext cx="5605272" cy="3752850"/>
                        </a:xfrm>
                        <a:prstGeom prst="rect">
                          <a:avLst/>
                        </a:prstGeom>
                        <a:solidFill>
                          <a:schemeClr val="accent4">
                            <a:lumMod val="20000"/>
                            <a:lumOff val="80000"/>
                          </a:schemeClr>
                        </a:solidFill>
                        <a:ln w="6350">
                          <a:noFill/>
                        </a:ln>
                      </wps:spPr>
                      <wps:txbx>
                        <w:txbxContent>
                          <w:p w14:paraId="42F64FE1"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Zambia: enfoque de taller presencial (dos días)</w:t>
                            </w:r>
                          </w:p>
                          <w:p w14:paraId="7E634194"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menor inclusión de partes interesadas, pues abarcó 35 participantes, debido a las restricciones derivadas de la COVID-19;</w:t>
                            </w:r>
                          </w:p>
                          <w:p w14:paraId="40D7B89C"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los debates se organizaron en grupos reducidos para examinar todas las secciones de una vez y, tras la presentación de cada grupo, se llegó a un consenso sobre las puntuaciones;</w:t>
                            </w:r>
                          </w:p>
                          <w:p w14:paraId="2ED21D9A"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durante la sesión de observaciones y comentarios se examinaron los anexos;</w:t>
                            </w:r>
                          </w:p>
                          <w:p w14:paraId="4DC66A1F"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los participantes que no pudieron asistir al taller presencial enviaron sus aportaciones al coordinador por correo electrónico.</w:t>
                            </w:r>
                          </w:p>
                          <w:p w14:paraId="4FE2048C" w14:textId="77777777" w:rsidR="001060F0" w:rsidRPr="001060F0" w:rsidRDefault="001060F0" w:rsidP="001060F0">
                            <w:pPr>
                              <w:rPr>
                                <w:b/>
                                <w:bCs/>
                                <w:color w:val="4EB3B9" w:themeColor="accent4"/>
                                <w:sz w:val="28"/>
                                <w:szCs w:val="28"/>
                                <w:lang w:val="es-ES"/>
                              </w:rPr>
                            </w:pPr>
                          </w:p>
                          <w:p w14:paraId="2CD54E2B"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Georgia: enfoque de taller mixto (un taller presencial de un día combinado con las aportaciones previas en línea de los participantes)</w:t>
                            </w:r>
                          </w:p>
                          <w:p w14:paraId="0E24A343"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menor inclusión de partes interesadas en el taller (26 participantes);</w:t>
                            </w:r>
                          </w:p>
                          <w:p w14:paraId="2E97FA70"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el coordinador distribuyó el borrador de la encuesta antes del taller, así como toda la información de antecedentes pertinente;</w:t>
                            </w:r>
                          </w:p>
                          <w:p w14:paraId="176F5DE7"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en la agenda se incluyó un período de tiempo para acordar colectivamente las puntuaciones, por lo que las decisiones con respecto a la puntuación definitiva se tomaron por consenso.</w:t>
                            </w:r>
                          </w:p>
                          <w:p w14:paraId="6403FD8E" w14:textId="77777777" w:rsidR="0090455F" w:rsidRPr="001060F0" w:rsidRDefault="0090455F" w:rsidP="001060F0">
                            <w:pPr>
                              <w:rPr>
                                <w:color w:val="44546A" w:themeColor="text2"/>
                                <w:lang w:val="es-ES"/>
                              </w:rPr>
                            </w:pPr>
                          </w:p>
                          <w:p w14:paraId="2AC75F14" w14:textId="0D7195C2" w:rsidR="0090455F" w:rsidRPr="001060F0" w:rsidRDefault="0090455F" w:rsidP="0090455F">
                            <w:pPr>
                              <w:rPr>
                                <w:color w:val="44546A" w:themeColor="text2"/>
                                <w:lang w:val="es-ES"/>
                              </w:rPr>
                            </w:pPr>
                          </w:p>
                          <w:p w14:paraId="3D973DE9" w14:textId="77777777" w:rsidR="0090455F" w:rsidRPr="001060F0" w:rsidRDefault="0090455F" w:rsidP="0090455F">
                            <w:pPr>
                              <w:rPr>
                                <w:lang w:val="es-ES"/>
                              </w:rPr>
                            </w:pPr>
                          </w:p>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 w14:anchorId="4735DE90" id="Text Box 8" o:spid="_x0000_s1027" type="#_x0000_t202" style="width:441.35pt;height:29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" fillcolor="#dbeff1 [663]" stroked="f" strokeweight=".5pt">
                <v:textbox inset="4mm,3mm,4mm,4mm">
                  <w:txbxContent>
                    <w:p w14:paraId="42F64FE1"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Zambia: enfoque de taller presencial (dos días)</w:t>
                      </w:r>
                    </w:p>
                    <w:p w14:paraId="7E634194"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menor inclusión de partes interesadas, pues abarcó 35 participantes, debido a las restricciones derivadas de la COVID-19;</w:t>
                      </w:r>
                    </w:p>
                    <w:p w14:paraId="40D7B89C"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los debates se organizaron en grupos reducidos para examinar todas las secciones de una vez y, tras la presentación de cada grupo, se llegó a un consenso sobre las puntuaciones;</w:t>
                      </w:r>
                    </w:p>
                    <w:p w14:paraId="2ED21D9A"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durante la sesión de observaciones y comentarios se examinaron los anexos;</w:t>
                      </w:r>
                    </w:p>
                    <w:p w14:paraId="4DC66A1F"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los participantes que no pudieron asistir al taller presencial enviaron sus aportaciones al coordinador por correo electrónico.</w:t>
                      </w:r>
                    </w:p>
                    <w:p w14:paraId="4FE2048C" w14:textId="77777777" w:rsidR="001060F0" w:rsidRPr="001060F0" w:rsidRDefault="001060F0" w:rsidP="001060F0">
                      <w:pPr>
                        <w:rPr>
                          <w:b/>
                          <w:bCs/>
                          <w:color w:val="4EB3B9" w:themeColor="accent4"/>
                          <w:sz w:val="28"/>
                          <w:szCs w:val="28"/>
                          <w:lang w:val="es-ES"/>
                        </w:rPr>
                      </w:pPr>
                    </w:p>
                    <w:p w14:paraId="2CD54E2B" w14:textId="77777777" w:rsidR="001060F0" w:rsidRPr="001060F0" w:rsidRDefault="001060F0" w:rsidP="001060F0">
                      <w:pPr>
                        <w:rPr>
                          <w:b/>
                          <w:bCs/>
                          <w:color w:val="4EB3B9" w:themeColor="accent4"/>
                          <w:sz w:val="28"/>
                          <w:szCs w:val="28"/>
                          <w:lang w:val="es-ES"/>
                        </w:rPr>
                      </w:pPr>
                      <w:r w:rsidRPr="001060F0">
                        <w:rPr>
                          <w:b/>
                          <w:bCs/>
                          <w:color w:val="4EB3B9" w:themeColor="accent4"/>
                          <w:sz w:val="28"/>
                          <w:szCs w:val="28"/>
                          <w:lang w:val="es-ES" w:bidi="es-ES"/>
                        </w:rPr>
                        <w:t>Georgia: enfoque de taller mixto (un taller presencial de un día combinado con las aportaciones previas en línea de los participantes)</w:t>
                      </w:r>
                    </w:p>
                    <w:p w14:paraId="0E24A343"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menor inclusión de partes interesadas en el taller (26 participantes);</w:t>
                      </w:r>
                    </w:p>
                    <w:p w14:paraId="2E97FA70"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el coordinador distribuyó el borrador de la encuesta antes del taller, así como toda la información de antecedentes pertinente;</w:t>
                      </w:r>
                    </w:p>
                    <w:p w14:paraId="176F5DE7" w14:textId="77777777" w:rsidR="001060F0" w:rsidRPr="001060F0" w:rsidRDefault="001060F0" w:rsidP="001060F0">
                      <w:pPr>
                        <w:numPr>
                          <w:ilvl w:val="0"/>
                          <w:numId w:val="11"/>
                        </w:numPr>
                        <w:jc w:val="both"/>
                        <w:rPr>
                          <w:color w:val="44546A" w:themeColor="text2"/>
                          <w:lang w:val="es-ES"/>
                        </w:rPr>
                      </w:pPr>
                      <w:r w:rsidRPr="001060F0">
                        <w:rPr>
                          <w:color w:val="44546A" w:themeColor="text2"/>
                          <w:lang w:val="es-ES"/>
                        </w:rPr>
                        <w:t>en la agenda se incluyó un período de tiempo para acordar colectivamente las puntuaciones, por lo que las decisiones con respecto a la puntuación definitiva se tomaron por consenso.</w:t>
                      </w:r>
                    </w:p>
                    <w:p w14:paraId="6403FD8E" w14:textId="77777777" w:rsidR="0090455F" w:rsidRPr="001060F0" w:rsidRDefault="0090455F" w:rsidP="001060F0">
                      <w:pPr>
                        <w:rPr>
                          <w:color w:val="44546A" w:themeColor="text2"/>
                          <w:lang w:val="es-ES"/>
                        </w:rPr>
                      </w:pPr>
                    </w:p>
                    <w:p w14:paraId="2AC75F14" w14:textId="0D7195C2" w:rsidR="0090455F" w:rsidRPr="001060F0" w:rsidRDefault="0090455F" w:rsidP="0090455F">
                      <w:pPr>
                        <w:rPr>
                          <w:color w:val="44546A" w:themeColor="text2"/>
                          <w:lang w:val="es-ES"/>
                        </w:rPr>
                      </w:pPr>
                    </w:p>
                    <w:p w14:paraId="3D973DE9" w14:textId="77777777" w:rsidR="0090455F" w:rsidRPr="001060F0" w:rsidRDefault="0090455F" w:rsidP="0090455F">
                      <w:pPr>
                        <w:rPr>
                          <w:lang w:val="es-ES"/>
                        </w:rPr>
                      </w:pPr>
                    </w:p>
                  </w:txbxContent>
                </v:textbox>
                <w10:anchorlock/>
              </v:shape>
            </w:pict>
          </mc:Fallback>
        </mc:AlternateContent>
      </w:r>
    </w:p>
    <w:p w14:paraId="0D110B7C" w14:textId="77777777" w:rsidR="001060F0" w:rsidRPr="00772443" w:rsidRDefault="001060F0" w:rsidP="001060F0">
      <w:pPr>
        <w:spacing w:before="120"/>
        <w:rPr>
          <w:rFonts w:eastAsiaTheme="minorEastAsia"/>
          <w:i/>
          <w:iCs/>
          <w:color w:val="12354E" w:themeColor="accent1" w:themeShade="BF"/>
          <w:sz w:val="20"/>
          <w:szCs w:val="20"/>
          <w:lang w:val="es-NI"/>
        </w:rPr>
      </w:pPr>
      <w:r w:rsidRPr="00772443">
        <w:rPr>
          <w:rFonts w:eastAsiaTheme="minorEastAsia"/>
          <w:i/>
          <w:iCs/>
          <w:color w:val="12354E" w:themeColor="accent1" w:themeShade="BF"/>
          <w:sz w:val="20"/>
          <w:szCs w:val="20"/>
          <w:lang w:val="es-NI" w:bidi="es-ES"/>
        </w:rPr>
        <w:t>Recuadro 1: Ejemplos nacionales de consultas con las partes interesadas celebradas en 2020</w:t>
      </w:r>
      <w:r w:rsidRPr="00772443">
        <w:rPr>
          <w:rFonts w:eastAsiaTheme="minorEastAsia"/>
          <w:i/>
          <w:iCs/>
          <w:color w:val="12354E" w:themeColor="accent1" w:themeShade="BF"/>
          <w:sz w:val="20"/>
          <w:szCs w:val="20"/>
          <w:vertAlign w:val="superscript"/>
          <w:lang w:val="es-NI" w:bidi="es-ES"/>
        </w:rPr>
        <w:footnoteReference w:id="6"/>
      </w:r>
    </w:p>
    <w:p w14:paraId="40889DF9" w14:textId="77777777" w:rsidR="0069679F" w:rsidRPr="00772443" w:rsidRDefault="0069679F" w:rsidP="00D57092">
      <w:pPr>
        <w:spacing w:before="120"/>
        <w:rPr>
          <w:rFonts w:eastAsiaTheme="minorEastAsia"/>
          <w:i/>
          <w:iCs/>
          <w:color w:val="12354E" w:themeColor="accent1" w:themeShade="BF"/>
          <w:sz w:val="20"/>
          <w:szCs w:val="20"/>
          <w:lang w:val="es-NI"/>
        </w:rPr>
      </w:pPr>
    </w:p>
    <w:p w14:paraId="7D392C9F" w14:textId="5CE0DE7E" w:rsidR="008E2EB5" w:rsidRPr="00772443" w:rsidRDefault="001060F0" w:rsidP="001060F0">
      <w:pPr>
        <w:pStyle w:val="ListParagraph"/>
        <w:numPr>
          <w:ilvl w:val="1"/>
          <w:numId w:val="3"/>
        </w:numPr>
        <w:rPr>
          <w:b/>
          <w:bCs/>
          <w:color w:val="20A6CA" w:themeColor="accent2"/>
          <w:sz w:val="36"/>
          <w:szCs w:val="36"/>
          <w:lang w:val="es-NI"/>
        </w:rPr>
      </w:pPr>
      <w:r w:rsidRPr="00772443">
        <w:rPr>
          <w:b/>
          <w:bCs/>
          <w:color w:val="20A6CA" w:themeColor="accent2"/>
          <w:sz w:val="36"/>
          <w:szCs w:val="36"/>
          <w:lang w:val="es-NI"/>
        </w:rPr>
        <w:t>Presentación</w:t>
      </w:r>
    </w:p>
    <w:p w14:paraId="19B35830" w14:textId="6DE77E6A" w:rsidR="001060F0" w:rsidRPr="00772443" w:rsidRDefault="001060F0" w:rsidP="001060F0">
      <w:pPr>
        <w:pStyle w:val="Body"/>
        <w:jc w:val="both"/>
        <w:rPr>
          <w:lang w:val="es-NI"/>
        </w:rPr>
      </w:pPr>
      <w:r w:rsidRPr="00772443">
        <w:rPr>
          <w:lang w:val="es-NI"/>
        </w:rPr>
        <w:t>El coordinador del indicador 6.5.1 de los ODS se encarga de presentar la encuesta. En la sección 6 de la “</w:t>
      </w:r>
      <w:hyperlink r:id="rId53" w:history="1">
        <w:r w:rsidRPr="00772443">
          <w:rPr>
            <w:rStyle w:val="Hyperlink"/>
            <w:lang w:val="es-NI"/>
          </w:rPr>
          <w:t>Guía para el monitoreo del indicador 6.5.1 de los ODS</w:t>
        </w:r>
      </w:hyperlink>
      <w:r w:rsidRPr="00772443">
        <w:rPr>
          <w:lang w:val="es-NI"/>
        </w:rPr>
        <w:t xml:space="preserve">” figura información más detallada sobre el proceso de presentación. </w:t>
      </w:r>
    </w:p>
    <w:p w14:paraId="7A9E4246" w14:textId="75C5D870" w:rsidR="008E2EB5" w:rsidRPr="00772443" w:rsidRDefault="001060F0" w:rsidP="001060F0">
      <w:pPr>
        <w:pStyle w:val="Body"/>
        <w:jc w:val="both"/>
        <w:rPr>
          <w:color w:val="EC531E" w:themeColor="accent6" w:themeShade="BF"/>
          <w:lang w:val="es-NI"/>
        </w:rPr>
      </w:pPr>
      <w:r w:rsidRPr="00772443">
        <w:rPr>
          <w:color w:val="EC531E" w:themeColor="accent6" w:themeShade="BF"/>
          <w:lang w:val="es-NI"/>
        </w:rPr>
        <w:t xml:space="preserve">En el caso de los países asistidos directamente en el marco del Programa de Apoyo para la GIRH del ODS 6, el facilitador también debería enviar un informe sobre las consultas con las partes interesadas a la dirección de correo electrónico </w:t>
      </w:r>
      <w:hyperlink r:id="rId54" w:history="1">
        <w:r w:rsidR="00D7434C" w:rsidRPr="00772443">
          <w:rPr>
            <w:rStyle w:val="Hyperlink"/>
            <w:lang w:val="es-NI"/>
          </w:rPr>
          <w:t>sdg6iwrmsp@gwp.org</w:t>
        </w:r>
      </w:hyperlink>
      <w:r w:rsidR="00D7434C" w:rsidRPr="00772443">
        <w:rPr>
          <w:color w:val="EC531E" w:themeColor="accent6" w:themeShade="BF"/>
          <w:lang w:val="es-NI"/>
        </w:rPr>
        <w:t xml:space="preserve"> </w:t>
      </w:r>
      <w:r w:rsidRPr="00772443">
        <w:rPr>
          <w:color w:val="EC531E" w:themeColor="accent6" w:themeShade="BF"/>
          <w:lang w:val="es-NI"/>
        </w:rPr>
        <w:t xml:space="preserve">(véase el </w:t>
      </w:r>
      <w:hyperlink r:id="rId55" w:history="1">
        <w:r w:rsidRPr="00772443">
          <w:rPr>
            <w:rStyle w:val="Hyperlink"/>
            <w:lang w:val="es-NI"/>
          </w:rPr>
          <w:t>anexo 3</w:t>
        </w:r>
      </w:hyperlink>
      <w:r w:rsidRPr="00772443">
        <w:rPr>
          <w:color w:val="EC531E" w:themeColor="accent6" w:themeShade="BF"/>
          <w:lang w:val="es-NI"/>
        </w:rPr>
        <w:t>).</w:t>
      </w:r>
      <w:r w:rsidR="008E2EB5" w:rsidRPr="00772443">
        <w:rPr>
          <w:color w:val="EC531E" w:themeColor="accent6" w:themeShade="BF"/>
          <w:lang w:val="es-NI"/>
        </w:rPr>
        <w:t> </w:t>
      </w:r>
    </w:p>
    <w:p w14:paraId="38378097" w14:textId="0ABFF8B0" w:rsidR="00D57092" w:rsidRPr="00772443" w:rsidRDefault="001060F0" w:rsidP="001060F0">
      <w:pPr>
        <w:pStyle w:val="ListParagraph"/>
        <w:numPr>
          <w:ilvl w:val="1"/>
          <w:numId w:val="3"/>
        </w:numPr>
        <w:rPr>
          <w:b/>
          <w:bCs/>
          <w:color w:val="20A6CA" w:themeColor="accent2"/>
          <w:sz w:val="36"/>
          <w:szCs w:val="36"/>
          <w:lang w:val="es-NI"/>
        </w:rPr>
      </w:pPr>
      <w:r w:rsidRPr="00772443">
        <w:rPr>
          <w:b/>
          <w:bCs/>
          <w:color w:val="20A6CA" w:themeColor="accent2"/>
          <w:sz w:val="36"/>
          <w:szCs w:val="36"/>
          <w:lang w:val="es-NI"/>
        </w:rPr>
        <w:t>Seguimiento</w:t>
      </w:r>
    </w:p>
    <w:p w14:paraId="092CC2B2" w14:textId="3F48ACAE" w:rsidR="002179BE" w:rsidRDefault="001060F0" w:rsidP="00D57092">
      <w:pPr>
        <w:pStyle w:val="Body"/>
        <w:jc w:val="both"/>
        <w:rPr>
          <w:lang w:val="es-NI"/>
        </w:rPr>
      </w:pPr>
      <w:r w:rsidRPr="00772443">
        <w:rPr>
          <w:rFonts w:ascii="Calibri" w:hAnsi="Calibri" w:cs="Calibri"/>
          <w:lang w:val="es-NI" w:bidi="es-ES"/>
        </w:rPr>
        <w:t xml:space="preserve">El coordinador del indicador 6.5.1 de los ODS y otras partes interesadas pertinentes pueden utilizar este proceso y los resultados conexos con miras a detectar oportunidades para promover la GIRH, como se propone en la sección 7 de la </w:t>
      </w:r>
      <w:hyperlink r:id="rId56" w:history="1">
        <w:r w:rsidRPr="00772443">
          <w:rPr>
            <w:rStyle w:val="Hyperlink"/>
            <w:rFonts w:ascii="Calibri" w:hAnsi="Calibri" w:cs="Calibri"/>
            <w:lang w:val="es-NI" w:bidi="es-ES"/>
          </w:rPr>
          <w:t>Guía para el monitoreo del indicador 6.5.1 de los ODS</w:t>
        </w:r>
      </w:hyperlink>
      <w:r w:rsidR="00D57092" w:rsidRPr="00772443">
        <w:rPr>
          <w:lang w:val="es-NI"/>
        </w:rPr>
        <w:t>. </w:t>
      </w:r>
    </w:p>
    <w:p w14:paraId="6215671A" w14:textId="77777777" w:rsidR="00772443" w:rsidRPr="00772443" w:rsidRDefault="00772443" w:rsidP="00D57092">
      <w:pPr>
        <w:pStyle w:val="Body"/>
        <w:jc w:val="both"/>
        <w:rPr>
          <w:lang w:val="es-NI"/>
        </w:rPr>
      </w:pPr>
    </w:p>
    <w:p w14:paraId="76E7199B" w14:textId="3DC6F679" w:rsidR="0069679F" w:rsidRPr="00772443" w:rsidRDefault="0069679F" w:rsidP="0069679F">
      <w:pPr>
        <w:pStyle w:val="Heading1"/>
        <w:rPr>
          <w:lang w:val="es-NI"/>
        </w:rPr>
      </w:pPr>
      <w:r w:rsidRPr="00772443">
        <w:rPr>
          <w:lang w:val="es-NI"/>
        </w:rPr>
        <w:lastRenderedPageBreak/>
        <w:t>AN</w:t>
      </w:r>
      <w:r w:rsidR="00772443">
        <w:rPr>
          <w:lang w:val="es-NI"/>
        </w:rPr>
        <w:t>EXOS</w:t>
      </w:r>
    </w:p>
    <w:p w14:paraId="3CBC0989" w14:textId="77777777" w:rsidR="001060F0" w:rsidRPr="00772443" w:rsidRDefault="001060F0" w:rsidP="001060F0">
      <w:pPr>
        <w:pStyle w:val="Body"/>
        <w:rPr>
          <w:lang w:val="es-NI"/>
        </w:rPr>
      </w:pPr>
      <w:r w:rsidRPr="00772443">
        <w:rPr>
          <w:lang w:val="es-NI" w:bidi="es-ES"/>
        </w:rPr>
        <w:t>Es posible utilizar los anexos que se mencionan a continuación:</w:t>
      </w:r>
    </w:p>
    <w:tbl>
      <w:tblPr>
        <w:tblStyle w:val="GridTable1Light-Accent5"/>
        <w:tblW w:w="935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1"/>
      </w:tblGrid>
      <w:tr w:rsidR="001060F0" w:rsidRPr="00772443" w14:paraId="24657B2C" w14:textId="77777777" w:rsidTr="00180C8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tcPr>
          <w:p w14:paraId="14C6A99C" w14:textId="1D9DD468" w:rsidR="001060F0" w:rsidRPr="00772443" w:rsidRDefault="006E4B4E" w:rsidP="001060F0">
            <w:pPr>
              <w:pStyle w:val="Body"/>
              <w:rPr>
                <w:u w:val="single"/>
                <w:lang w:val="es-NI"/>
              </w:rPr>
            </w:pPr>
            <w:hyperlink r:id="rId57" w:history="1">
              <w:r w:rsidR="001060F0" w:rsidRPr="00772443">
                <w:rPr>
                  <w:rStyle w:val="Hyperlink"/>
                  <w:b w:val="0"/>
                  <w:bCs w:val="0"/>
                  <w:lang w:val="es-NI" w:bidi="es-ES"/>
                </w:rPr>
                <w:t>Anexo 1: Herramienta en línea para la encuesta sobre la GIRH</w:t>
              </w:r>
            </w:hyperlink>
          </w:p>
        </w:tc>
      </w:tr>
      <w:tr w:rsidR="001060F0" w:rsidRPr="00772443" w14:paraId="16B8E4C3" w14:textId="77777777" w:rsidTr="00180C86">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643314FC" w14:textId="5C9C358A" w:rsidR="001060F0" w:rsidRPr="00772443" w:rsidRDefault="006E4B4E" w:rsidP="001060F0">
            <w:pPr>
              <w:pStyle w:val="Body"/>
              <w:rPr>
                <w:u w:val="single"/>
                <w:lang w:val="es-NI"/>
              </w:rPr>
            </w:pPr>
            <w:hyperlink r:id="rId58" w:history="1">
              <w:r w:rsidR="001060F0" w:rsidRPr="00772443">
                <w:rPr>
                  <w:rStyle w:val="Hyperlink"/>
                  <w:b w:val="0"/>
                  <w:bCs w:val="0"/>
                  <w:lang w:val="es-NI" w:bidi="es-ES"/>
                </w:rPr>
                <w:t>Anexo 2: Ejemplo de agenda para talleres de consulta</w:t>
              </w:r>
            </w:hyperlink>
          </w:p>
        </w:tc>
      </w:tr>
      <w:tr w:rsidR="001060F0" w:rsidRPr="00772443" w14:paraId="25A137B0" w14:textId="77777777" w:rsidTr="00180C86">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E2CBED1" w14:textId="485EB609" w:rsidR="001060F0" w:rsidRPr="00772443" w:rsidRDefault="006E4B4E" w:rsidP="001060F0">
            <w:pPr>
              <w:pStyle w:val="Body"/>
              <w:rPr>
                <w:u w:val="single"/>
                <w:lang w:val="es-NI"/>
              </w:rPr>
            </w:pPr>
            <w:hyperlink r:id="rId59" w:history="1">
              <w:r w:rsidR="001060F0" w:rsidRPr="00772443">
                <w:rPr>
                  <w:rStyle w:val="Hyperlink"/>
                  <w:b w:val="0"/>
                  <w:bCs w:val="0"/>
                  <w:lang w:val="es-NI" w:bidi="es-ES"/>
                </w:rPr>
                <w:t>Anexo 3: Modelo opcional de informe sobre las consultas</w:t>
              </w:r>
            </w:hyperlink>
          </w:p>
        </w:tc>
      </w:tr>
      <w:tr w:rsidR="001060F0" w:rsidRPr="00772443" w14:paraId="60190120" w14:textId="77777777" w:rsidTr="00180C86">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4E213A9" w14:textId="148BDA06" w:rsidR="001060F0" w:rsidRPr="00772443" w:rsidRDefault="006E4B4E" w:rsidP="001060F0">
            <w:pPr>
              <w:pStyle w:val="Body"/>
              <w:rPr>
                <w:u w:val="single"/>
                <w:lang w:val="es-NI"/>
              </w:rPr>
            </w:pPr>
            <w:hyperlink r:id="rId60" w:history="1">
              <w:r w:rsidR="001060F0" w:rsidRPr="00772443">
                <w:rPr>
                  <w:rStyle w:val="Hyperlink"/>
                  <w:b w:val="0"/>
                  <w:bCs w:val="0"/>
                  <w:lang w:val="es-NI" w:bidi="es-ES"/>
                </w:rPr>
                <w:t>Anexo 4: Modelo de términos de referencia para el facilitador</w:t>
              </w:r>
            </w:hyperlink>
          </w:p>
        </w:tc>
      </w:tr>
    </w:tbl>
    <w:p w14:paraId="02D75F58" w14:textId="77777777" w:rsidR="00D57092" w:rsidRPr="00772443" w:rsidRDefault="00D57092" w:rsidP="00D57092">
      <w:pPr>
        <w:pStyle w:val="Body"/>
        <w:rPr>
          <w:lang w:val="es-NI"/>
        </w:rPr>
      </w:pPr>
    </w:p>
    <w:sectPr w:rsidR="00D57092" w:rsidRPr="00772443" w:rsidSect="003732C1">
      <w:headerReference w:type="default" r:id="rId61"/>
      <w:footerReference w:type="default" r:id="rId6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CA717" w14:textId="77777777" w:rsidR="00AD1AB5" w:rsidRDefault="00AD1AB5" w:rsidP="009819C7">
      <w:r>
        <w:separator/>
      </w:r>
    </w:p>
  </w:endnote>
  <w:endnote w:type="continuationSeparator" w:id="0">
    <w:p w14:paraId="62D23485" w14:textId="77777777" w:rsidR="00AD1AB5" w:rsidRDefault="00AD1AB5"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D7434C">
          <w:rPr>
            <w:noProof/>
          </w:rPr>
          <w:t>14</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880520" w14:textId="77777777" w:rsidR="00AD1AB5" w:rsidRDefault="00AD1AB5" w:rsidP="009819C7">
      <w:r>
        <w:separator/>
      </w:r>
    </w:p>
  </w:footnote>
  <w:footnote w:type="continuationSeparator" w:id="0">
    <w:p w14:paraId="3B59C42F" w14:textId="77777777" w:rsidR="00AD1AB5" w:rsidRDefault="00AD1AB5" w:rsidP="009819C7">
      <w:r>
        <w:continuationSeparator/>
      </w:r>
    </w:p>
  </w:footnote>
  <w:footnote w:id="1">
    <w:p w14:paraId="66A02526" w14:textId="77777777" w:rsidR="00582879" w:rsidRPr="001060F0" w:rsidRDefault="00582879" w:rsidP="00582879">
      <w:pPr>
        <w:pStyle w:val="FootnoteText"/>
        <w:rPr>
          <w:sz w:val="18"/>
          <w:lang w:val="es-ES"/>
        </w:rPr>
      </w:pPr>
      <w:r w:rsidRPr="3DB1C009">
        <w:rPr>
          <w:rStyle w:val="FootnoteReference"/>
          <w:lang w:bidi="es-ES"/>
        </w:rPr>
        <w:footnoteRef/>
      </w:r>
      <w:r w:rsidRPr="001060F0">
        <w:rPr>
          <w:lang w:val="es-ES" w:bidi="es-ES"/>
        </w:rPr>
        <w:t xml:space="preserve"> </w:t>
      </w:r>
      <w:r w:rsidRPr="001060F0">
        <w:rPr>
          <w:sz w:val="18"/>
          <w:lang w:val="es-ES" w:bidi="es-ES"/>
        </w:rPr>
        <w:t>En caso de que el coordinador pertenezca a un departamento u oficina nacional de estadística, es recomendable que se coordine con el organismo nacional competente en materia de recursos hídricos para llevar a cabo el proceso de presentación de informes sobre el indicador 6.5.1 de los ODS.</w:t>
      </w:r>
    </w:p>
  </w:footnote>
  <w:footnote w:id="2">
    <w:p w14:paraId="63F7AF38" w14:textId="77777777" w:rsidR="001060F0" w:rsidRPr="001060F0" w:rsidRDefault="001060F0" w:rsidP="001060F0">
      <w:pPr>
        <w:rPr>
          <w:rFonts w:ascii="Calibri" w:eastAsia="Calibri" w:hAnsi="Calibri" w:cs="Calibri"/>
          <w:color w:val="000000" w:themeColor="text1"/>
          <w:lang w:val="es-ES"/>
        </w:rPr>
      </w:pPr>
      <w:r w:rsidRPr="5B0F92DF">
        <w:rPr>
          <w:rStyle w:val="FootnoteReference"/>
          <w:lang w:bidi="es-ES"/>
        </w:rPr>
        <w:footnoteRef/>
      </w:r>
      <w:r w:rsidRPr="001060F0">
        <w:rPr>
          <w:lang w:val="es-ES" w:bidi="es-ES"/>
        </w:rPr>
        <w:t xml:space="preserve"> </w:t>
      </w:r>
      <w:r w:rsidRPr="001060F0">
        <w:rPr>
          <w:sz w:val="18"/>
          <w:lang w:val="es-ES" w:bidi="es-ES"/>
        </w:rPr>
        <w:t>Por ejemplo, para examinar la pregunta 2.1d, sobre “Participación del sector privado en el desarrollo, la gestión y el uso de los recursos hídricos”, se podría juntar a varios representantes del sector privado y administradores de recursos hídricos. Estos debates podrían organizarse en una sesión breve y específica, o en una serie de sesiones, con miras a consolidar el conocimiento y avanzar hacia el consenso.</w:t>
      </w:r>
    </w:p>
  </w:footnote>
  <w:footnote w:id="3">
    <w:p w14:paraId="51B3A464" w14:textId="77777777" w:rsidR="001060F0" w:rsidRPr="00E757B4" w:rsidRDefault="001060F0" w:rsidP="001060F0">
      <w:pPr>
        <w:pStyle w:val="FootnoteText"/>
        <w:rPr>
          <w:color w:val="194869" w:themeColor="accent1"/>
          <w:sz w:val="18"/>
          <w:szCs w:val="18"/>
          <w:lang w:val="es-ES"/>
        </w:rPr>
      </w:pPr>
      <w:r w:rsidRPr="00E757B4">
        <w:rPr>
          <w:rStyle w:val="FootnoteReference"/>
          <w:color w:val="194869" w:themeColor="accent1"/>
          <w:lang w:bidi="es-ES"/>
        </w:rPr>
        <w:footnoteRef/>
      </w:r>
      <w:r w:rsidRPr="00E757B4">
        <w:rPr>
          <w:color w:val="194869" w:themeColor="accent1"/>
          <w:lang w:val="es-ES" w:bidi="es-ES"/>
        </w:rPr>
        <w:t xml:space="preserve"> </w:t>
      </w:r>
      <w:r w:rsidRPr="00E757B4">
        <w:rPr>
          <w:color w:val="194869" w:themeColor="accent1"/>
          <w:sz w:val="18"/>
          <w:lang w:val="es-ES" w:bidi="es-ES"/>
        </w:rPr>
        <w:t xml:space="preserve">Sobre la base del análisis de los procesos de consulta con múltiples interesados para la presentación de informes sobre el indicador 6.5.1 de los ODS: </w:t>
      </w:r>
      <w:hyperlink r:id="rId1" w:history="1">
        <w:r w:rsidRPr="00E757B4">
          <w:rPr>
            <w:rStyle w:val="Hyperlink"/>
            <w:color w:val="194869" w:themeColor="accent1"/>
            <w:sz w:val="18"/>
            <w:lang w:val="es-ES" w:bidi="es-ES"/>
          </w:rPr>
          <w:t>https://www.gwp.org/en/sdg6support/MSPs/</w:t>
        </w:r>
      </w:hyperlink>
    </w:p>
  </w:footnote>
  <w:footnote w:id="4">
    <w:p w14:paraId="73B67674" w14:textId="77777777" w:rsidR="001060F0" w:rsidRPr="00E757B4" w:rsidRDefault="001060F0" w:rsidP="001060F0">
      <w:pPr>
        <w:pStyle w:val="FootnoteText"/>
        <w:rPr>
          <w:color w:val="194869" w:themeColor="accent1"/>
          <w:sz w:val="18"/>
          <w:szCs w:val="18"/>
          <w:lang w:val="es-ES"/>
        </w:rPr>
      </w:pPr>
      <w:r w:rsidRPr="00E757B4">
        <w:rPr>
          <w:rStyle w:val="FootnoteReference"/>
          <w:color w:val="194869" w:themeColor="accent1"/>
          <w:lang w:bidi="es-ES"/>
        </w:rPr>
        <w:footnoteRef/>
      </w:r>
      <w:r w:rsidRPr="00E757B4">
        <w:rPr>
          <w:color w:val="194869" w:themeColor="accent1"/>
          <w:lang w:val="es-ES" w:bidi="es-ES"/>
        </w:rPr>
        <w:t xml:space="preserve"> </w:t>
      </w:r>
      <w:r w:rsidRPr="00E757B4">
        <w:rPr>
          <w:color w:val="194869" w:themeColor="accent1"/>
          <w:sz w:val="18"/>
          <w:lang w:val="es-ES" w:bidi="es-ES"/>
        </w:rPr>
        <w:t>Para ciertas preguntas de la encuesta, es muy recomendable contar con representantes de las siguientes esferas o especialistas en estos ámbitos: la adaptación y mitigación climáticas (varias respuestas); el sector privado (pregunta 2.1d), los grupos vulnerables (pregunta 2.2c), el género (pregunta 2.2d) y las preguntas transfronterizas (preguntas 1.2c, 2.2e, 3.2d, 4.2c).</w:t>
      </w:r>
    </w:p>
  </w:footnote>
  <w:footnote w:id="5">
    <w:p w14:paraId="46F37E15" w14:textId="77777777" w:rsidR="001060F0" w:rsidRPr="001060F0" w:rsidRDefault="001060F0" w:rsidP="001060F0">
      <w:pPr>
        <w:pStyle w:val="FootnoteText"/>
        <w:rPr>
          <w:lang w:val="es-ES"/>
        </w:rPr>
      </w:pPr>
      <w:r w:rsidRPr="00E757B4">
        <w:rPr>
          <w:rStyle w:val="FootnoteReference"/>
          <w:color w:val="194869" w:themeColor="accent1"/>
          <w:lang w:bidi="es-ES"/>
        </w:rPr>
        <w:footnoteRef/>
      </w:r>
      <w:r w:rsidRPr="00E757B4">
        <w:rPr>
          <w:color w:val="194869" w:themeColor="accent1"/>
          <w:lang w:val="es-ES" w:bidi="es-ES"/>
        </w:rPr>
        <w:t xml:space="preserve"> </w:t>
      </w:r>
      <w:r w:rsidRPr="00E757B4">
        <w:rPr>
          <w:color w:val="194869" w:themeColor="accent1"/>
          <w:sz w:val="18"/>
          <w:lang w:val="es-ES" w:bidi="es-ES"/>
        </w:rPr>
        <w:t>Sobre la base del análisis de los procesos de consulta con múltiples interesados para la presentación de informes sobre el indicador 6.5.1 de los ODS:</w:t>
      </w:r>
      <w:r w:rsidRPr="00E757B4">
        <w:rPr>
          <w:color w:val="194869" w:themeColor="accent1"/>
          <w:lang w:val="es-ES" w:bidi="es-ES"/>
        </w:rPr>
        <w:t xml:space="preserve"> </w:t>
      </w:r>
      <w:hyperlink r:id="rId2" w:history="1">
        <w:r w:rsidRPr="001060F0">
          <w:rPr>
            <w:rStyle w:val="Hyperlink"/>
            <w:sz w:val="18"/>
            <w:lang w:val="es-ES" w:bidi="es-ES"/>
          </w:rPr>
          <w:t>https://www.gwp.org/en/sdg6support/MSPs/</w:t>
        </w:r>
      </w:hyperlink>
    </w:p>
  </w:footnote>
  <w:footnote w:id="6">
    <w:p w14:paraId="61F248CB" w14:textId="77777777" w:rsidR="001060F0" w:rsidRPr="001060F0" w:rsidRDefault="001060F0" w:rsidP="001060F0">
      <w:pPr>
        <w:pStyle w:val="FootnoteText"/>
        <w:rPr>
          <w:lang w:val="es-ES"/>
        </w:rPr>
      </w:pPr>
      <w:r w:rsidRPr="00E757B4">
        <w:rPr>
          <w:rStyle w:val="FootnoteReference"/>
          <w:color w:val="194869" w:themeColor="accent1"/>
          <w:lang w:bidi="es-ES"/>
        </w:rPr>
        <w:footnoteRef/>
      </w:r>
      <w:r w:rsidRPr="00E757B4">
        <w:rPr>
          <w:color w:val="194869" w:themeColor="accent1"/>
          <w:lang w:val="es-ES" w:bidi="es-ES"/>
        </w:rPr>
        <w:t xml:space="preserve"> </w:t>
      </w:r>
      <w:r w:rsidRPr="00E757B4">
        <w:rPr>
          <w:color w:val="194869" w:themeColor="accent1"/>
          <w:sz w:val="18"/>
          <w:lang w:val="es-ES" w:bidi="es-ES"/>
        </w:rPr>
        <w:t xml:space="preserve">Sobre la base del análisis de los procesos de consulta con múltiples interesados para la presentación de informes sobre el indicador 6.5.1 de los ODS: </w:t>
      </w:r>
      <w:r w:rsidRPr="00E757B4">
        <w:rPr>
          <w:color w:val="194869" w:themeColor="accent1"/>
          <w:lang w:val="es-ES" w:bidi="es-ES"/>
        </w:rPr>
        <w:t xml:space="preserve"> </w:t>
      </w:r>
      <w:hyperlink r:id="rId3" w:history="1">
        <w:r w:rsidRPr="001060F0">
          <w:rPr>
            <w:rStyle w:val="Hyperlink"/>
            <w:sz w:val="18"/>
            <w:lang w:val="es-ES" w:bidi="es-ES"/>
          </w:rPr>
          <w:t>https://www.gwp.org/en/sdg6support/MSPs/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261793192">
    <w:abstractNumId w:val="12"/>
  </w:num>
  <w:num w:numId="2" w16cid:durableId="643586301">
    <w:abstractNumId w:val="17"/>
  </w:num>
  <w:num w:numId="3" w16cid:durableId="1864047457">
    <w:abstractNumId w:val="27"/>
  </w:num>
  <w:num w:numId="4" w16cid:durableId="771900319">
    <w:abstractNumId w:val="25"/>
  </w:num>
  <w:num w:numId="5" w16cid:durableId="180704760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1616356">
    <w:abstractNumId w:val="13"/>
  </w:num>
  <w:num w:numId="7" w16cid:durableId="8187539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57045728">
    <w:abstractNumId w:val="3"/>
  </w:num>
  <w:num w:numId="9" w16cid:durableId="268702790">
    <w:abstractNumId w:val="23"/>
  </w:num>
  <w:num w:numId="10" w16cid:durableId="587268956">
    <w:abstractNumId w:val="21"/>
  </w:num>
  <w:num w:numId="11" w16cid:durableId="2015722597">
    <w:abstractNumId w:val="1"/>
  </w:num>
  <w:num w:numId="12" w16cid:durableId="168763855">
    <w:abstractNumId w:val="8"/>
  </w:num>
  <w:num w:numId="13" w16cid:durableId="534343703">
    <w:abstractNumId w:val="6"/>
  </w:num>
  <w:num w:numId="14" w16cid:durableId="195435221">
    <w:abstractNumId w:val="18"/>
  </w:num>
  <w:num w:numId="15" w16cid:durableId="8568864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7224097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99645218">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259770">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88527283">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705683">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01010543">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858301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4243744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1451918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70437165">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7152781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81992532">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16492108">
    <w:abstractNumId w:val="20"/>
  </w:num>
  <w:num w:numId="29" w16cid:durableId="1655799206">
    <w:abstractNumId w:val="10"/>
  </w:num>
  <w:num w:numId="30" w16cid:durableId="374938016">
    <w:abstractNumId w:val="24"/>
  </w:num>
  <w:num w:numId="31" w16cid:durableId="899024485">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82093"/>
    <w:rsid w:val="000B1197"/>
    <w:rsid w:val="000C284B"/>
    <w:rsid w:val="000C6D88"/>
    <w:rsid w:val="000E5AD0"/>
    <w:rsid w:val="000F7474"/>
    <w:rsid w:val="001060F0"/>
    <w:rsid w:val="001226CD"/>
    <w:rsid w:val="001236FA"/>
    <w:rsid w:val="001348B4"/>
    <w:rsid w:val="00137A02"/>
    <w:rsid w:val="00174110"/>
    <w:rsid w:val="00174129"/>
    <w:rsid w:val="0019109F"/>
    <w:rsid w:val="001946D1"/>
    <w:rsid w:val="0019531E"/>
    <w:rsid w:val="0019594B"/>
    <w:rsid w:val="001A226E"/>
    <w:rsid w:val="001B35CA"/>
    <w:rsid w:val="001C7CCF"/>
    <w:rsid w:val="001D71EC"/>
    <w:rsid w:val="001E3DD4"/>
    <w:rsid w:val="002119FB"/>
    <w:rsid w:val="002179BE"/>
    <w:rsid w:val="00217A87"/>
    <w:rsid w:val="00226BAD"/>
    <w:rsid w:val="00235F7A"/>
    <w:rsid w:val="00242C7B"/>
    <w:rsid w:val="00244D2A"/>
    <w:rsid w:val="00296D4E"/>
    <w:rsid w:val="002A0CCF"/>
    <w:rsid w:val="002B08AA"/>
    <w:rsid w:val="002B1B0C"/>
    <w:rsid w:val="002D031F"/>
    <w:rsid w:val="002D1210"/>
    <w:rsid w:val="002D4607"/>
    <w:rsid w:val="002F13BE"/>
    <w:rsid w:val="003056B4"/>
    <w:rsid w:val="00321419"/>
    <w:rsid w:val="00342022"/>
    <w:rsid w:val="00345F82"/>
    <w:rsid w:val="00350EB9"/>
    <w:rsid w:val="00357599"/>
    <w:rsid w:val="003732C1"/>
    <w:rsid w:val="00382FD3"/>
    <w:rsid w:val="003867BA"/>
    <w:rsid w:val="00395F93"/>
    <w:rsid w:val="003B7567"/>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550D4"/>
    <w:rsid w:val="0057073D"/>
    <w:rsid w:val="00582879"/>
    <w:rsid w:val="00595302"/>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41B31"/>
    <w:rsid w:val="00753AFF"/>
    <w:rsid w:val="007626D9"/>
    <w:rsid w:val="00772443"/>
    <w:rsid w:val="007C3745"/>
    <w:rsid w:val="007E6CB6"/>
    <w:rsid w:val="007F2071"/>
    <w:rsid w:val="007F2931"/>
    <w:rsid w:val="00800C4D"/>
    <w:rsid w:val="008078E3"/>
    <w:rsid w:val="00844946"/>
    <w:rsid w:val="00861568"/>
    <w:rsid w:val="0086762E"/>
    <w:rsid w:val="008742CD"/>
    <w:rsid w:val="0088609C"/>
    <w:rsid w:val="00895442"/>
    <w:rsid w:val="008B4AB1"/>
    <w:rsid w:val="008B62D2"/>
    <w:rsid w:val="008E2EB5"/>
    <w:rsid w:val="008E5D49"/>
    <w:rsid w:val="008F0094"/>
    <w:rsid w:val="0090455F"/>
    <w:rsid w:val="009249F6"/>
    <w:rsid w:val="009271A8"/>
    <w:rsid w:val="00933CE7"/>
    <w:rsid w:val="00942414"/>
    <w:rsid w:val="0096136B"/>
    <w:rsid w:val="00970943"/>
    <w:rsid w:val="009819C7"/>
    <w:rsid w:val="00987A75"/>
    <w:rsid w:val="009C625F"/>
    <w:rsid w:val="009D20C4"/>
    <w:rsid w:val="009E4EB3"/>
    <w:rsid w:val="00A00F8E"/>
    <w:rsid w:val="00A07C3D"/>
    <w:rsid w:val="00A12779"/>
    <w:rsid w:val="00A17D75"/>
    <w:rsid w:val="00A25463"/>
    <w:rsid w:val="00A36D48"/>
    <w:rsid w:val="00A43F19"/>
    <w:rsid w:val="00A5744D"/>
    <w:rsid w:val="00A76A59"/>
    <w:rsid w:val="00A86F47"/>
    <w:rsid w:val="00A91844"/>
    <w:rsid w:val="00A948E8"/>
    <w:rsid w:val="00A94D28"/>
    <w:rsid w:val="00AA32D5"/>
    <w:rsid w:val="00AC0882"/>
    <w:rsid w:val="00AC1762"/>
    <w:rsid w:val="00AC2500"/>
    <w:rsid w:val="00AD1AB5"/>
    <w:rsid w:val="00AF6624"/>
    <w:rsid w:val="00B0018E"/>
    <w:rsid w:val="00B0219D"/>
    <w:rsid w:val="00B06286"/>
    <w:rsid w:val="00B648A5"/>
    <w:rsid w:val="00B7315A"/>
    <w:rsid w:val="00B7728B"/>
    <w:rsid w:val="00B837B2"/>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82FFE"/>
    <w:rsid w:val="00C9439A"/>
    <w:rsid w:val="00C9543D"/>
    <w:rsid w:val="00CB095F"/>
    <w:rsid w:val="00CB2F59"/>
    <w:rsid w:val="00CC54B2"/>
    <w:rsid w:val="00CC672E"/>
    <w:rsid w:val="00D15DEB"/>
    <w:rsid w:val="00D21046"/>
    <w:rsid w:val="00D22DEC"/>
    <w:rsid w:val="00D24BC4"/>
    <w:rsid w:val="00D26793"/>
    <w:rsid w:val="00D34B5B"/>
    <w:rsid w:val="00D35F00"/>
    <w:rsid w:val="00D57092"/>
    <w:rsid w:val="00D6270B"/>
    <w:rsid w:val="00D7434C"/>
    <w:rsid w:val="00D76B83"/>
    <w:rsid w:val="00D83B26"/>
    <w:rsid w:val="00D8794C"/>
    <w:rsid w:val="00D91BD3"/>
    <w:rsid w:val="00DA2EB8"/>
    <w:rsid w:val="00DA544C"/>
    <w:rsid w:val="00DA77BB"/>
    <w:rsid w:val="00DA7D4D"/>
    <w:rsid w:val="00DB3AEA"/>
    <w:rsid w:val="00DB607D"/>
    <w:rsid w:val="00DB6B16"/>
    <w:rsid w:val="00E43F05"/>
    <w:rsid w:val="00E62B85"/>
    <w:rsid w:val="00E755AC"/>
    <w:rsid w:val="00E757B4"/>
    <w:rsid w:val="00E97B08"/>
    <w:rsid w:val="00EB3205"/>
    <w:rsid w:val="00ED744C"/>
    <w:rsid w:val="00EF107B"/>
    <w:rsid w:val="00EF1F09"/>
    <w:rsid w:val="00EF3504"/>
    <w:rsid w:val="00F05855"/>
    <w:rsid w:val="00F53CD4"/>
    <w:rsid w:val="00FA42CA"/>
    <w:rsid w:val="00FC02BE"/>
    <w:rsid w:val="00FC7A4E"/>
    <w:rsid w:val="00FD46C3"/>
    <w:rsid w:val="00FF6DD6"/>
    <w:rsid w:val="113F659F"/>
    <w:rsid w:val="44D2D68A"/>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F60E69"/>
  <w15:chartTrackingRefBased/>
  <w15:docId w15:val="{C2EF57E7-5D4F-48B9-AF9F-C39ADFFB8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customStyle="1" w:styleId="UnresolvedMention1">
    <w:name w:val="Unresolved Mention1"/>
    <w:basedOn w:val="DefaultParagraphFont"/>
    <w:uiPriority w:val="99"/>
    <w:semiHidden/>
    <w:unhideWhenUsed/>
    <w:rsid w:val="00B648A5"/>
    <w:rPr>
      <w:color w:val="605E5C"/>
      <w:shd w:val="clear" w:color="auto" w:fill="E1DFDD"/>
    </w:rPr>
  </w:style>
  <w:style w:type="character" w:customStyle="1" w:styleId="Mention1">
    <w:name w:val="Mention1"/>
    <w:basedOn w:val="DefaultParagraphFont"/>
    <w:uiPriority w:val="99"/>
    <w:unhideWhenUsed/>
    <w:rsid w:val="0058287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www.gwp.org/en/partner/existing-partners/Partner-Search/" TargetMode="External"/><Relationship Id="rId26" Type="http://schemas.openxmlformats.org/officeDocument/2006/relationships/hyperlink" Target="https://unstats.un.org/sdgs/dataContacts/" TargetMode="External"/><Relationship Id="rId39" Type="http://schemas.openxmlformats.org/officeDocument/2006/relationships/diagramQuickStyle" Target="diagrams/quickStyle2.xml"/><Relationship Id="rId21" Type="http://schemas.openxmlformats.org/officeDocument/2006/relationships/hyperlink" Target="https://cap-net.org/la-red/?lang=es" TargetMode="External"/><Relationship Id="rId34" Type="http://schemas.openxmlformats.org/officeDocument/2006/relationships/hyperlink" Target="http://iwrmdataportal.unepdhi.org/reportingmaterials" TargetMode="External"/><Relationship Id="rId42" Type="http://schemas.openxmlformats.org/officeDocument/2006/relationships/diagramData" Target="diagrams/data3.xm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mailto:http://iwrmdataportal.unepdhi.org/reportingmaterials" TargetMode="External"/><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9" Type="http://schemas.openxmlformats.org/officeDocument/2006/relationships/diagramQuickStyle" Target="diagrams/quickStyle1.xml"/><Relationship Id="rId11" Type="http://schemas.openxmlformats.org/officeDocument/2006/relationships/image" Target="media/image1.png"/><Relationship Id="rId24" Type="http://schemas.openxmlformats.org/officeDocument/2006/relationships/hyperlink" Target="https://www.unwater.org/our-work/integrated-monitoring-initiative-sdg-6" TargetMode="External"/><Relationship Id="rId32" Type="http://schemas.openxmlformats.org/officeDocument/2006/relationships/hyperlink" Target="http://iwrmdataportal.unepdhi.org/reportingmaterials" TargetMode="External"/><Relationship Id="rId37" Type="http://schemas.openxmlformats.org/officeDocument/2006/relationships/diagramData" Target="diagrams/data2.xml"/><Relationship Id="rId40" Type="http://schemas.openxmlformats.org/officeDocument/2006/relationships/diagramColors" Target="diagrams/colors2.xml"/><Relationship Id="rId45" Type="http://schemas.openxmlformats.org/officeDocument/2006/relationships/diagramColors" Target="diagrams/colors3.xml"/><Relationship Id="rId53" Type="http://schemas.openxmlformats.org/officeDocument/2006/relationships/hyperlink" Target="http://iwrmdataportal.unepdhi.org/reportingmaterials" TargetMode="External"/><Relationship Id="rId58" Type="http://schemas.openxmlformats.org/officeDocument/2006/relationships/hyperlink" Target="http://iwrmdataportal.unepdhi.org/reportingmaterials" TargetMode="External"/><Relationship Id="rId5" Type="http://schemas.openxmlformats.org/officeDocument/2006/relationships/numbering" Target="numbering.xml"/><Relationship Id="rId61" Type="http://schemas.openxmlformats.org/officeDocument/2006/relationships/header" Target="header1.xml"/><Relationship Id="rId19" Type="http://schemas.openxmlformats.org/officeDocument/2006/relationships/hyperlink" Target="https://www.gwp.org/en/partner/existing-partners/Partner-Search/" TargetMode="External"/><Relationship Id="rId14" Type="http://schemas.openxmlformats.org/officeDocument/2006/relationships/hyperlink" Target="mailto:sdg6iwrmsp@gwp.org" TargetMode="External"/><Relationship Id="rId22" Type="http://schemas.openxmlformats.org/officeDocument/2006/relationships/hyperlink" Target="mailto:iwrmsdg651@un.org"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iwrmdataportal.unepdhi.org/country-reports" TargetMode="External"/><Relationship Id="rId43" Type="http://schemas.openxmlformats.org/officeDocument/2006/relationships/diagramLayout" Target="diagrams/layout3.xml"/><Relationship Id="rId48" Type="http://schemas.openxmlformats.org/officeDocument/2006/relationships/hyperlink" Target="http://iwrmdataportal.unepdhi.org/reportingmaterials" TargetMode="External"/><Relationship Id="rId56" Type="http://schemas.openxmlformats.org/officeDocument/2006/relationships/hyperlink" Target="http://iwrmdataportal.unepdhi.org/reportingmaterials" TargetMode="External"/><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unsdg.un.org/es/un-in-action/country-level?tab=countries-listing" TargetMode="External"/><Relationship Id="rId25" Type="http://schemas.openxmlformats.org/officeDocument/2006/relationships/hyperlink" Target="https://www.unwater.org/publications/water-and-sanitation-interlinkages-across-2030-agenda-sustainable-development" TargetMode="External"/><Relationship Id="rId33" Type="http://schemas.openxmlformats.org/officeDocument/2006/relationships/hyperlink" Target="https://cap-net.org/programa-de-ods-651/" TargetMode="External"/><Relationship Id="rId38" Type="http://schemas.openxmlformats.org/officeDocument/2006/relationships/diagramLayout" Target="diagrams/layout2.xml"/><Relationship Id="rId46" Type="http://schemas.microsoft.com/office/2007/relationships/diagramDrawing" Target="diagrams/drawing3.xml"/><Relationship Id="rId59" Type="http://schemas.openxmlformats.org/officeDocument/2006/relationships/hyperlink" Target="http://iwrmdataportal.unepdhi.org/reportingmaterials" TargetMode="External"/><Relationship Id="rId20" Type="http://schemas.openxmlformats.org/officeDocument/2006/relationships/hyperlink" Target="https://cap-net.org/aliados/?lang=es" TargetMode="External"/><Relationship Id="rId41" Type="http://schemas.microsoft.com/office/2007/relationships/diagramDrawing" Target="diagrams/drawing2.xml"/><Relationship Id="rId54" Type="http://schemas.openxmlformats.org/officeDocument/2006/relationships/hyperlink" Target="mailto:sdg6iwrmsp@gwp.org"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diagramLayout" Target="diagrams/layout1.xml"/><Relationship Id="rId36" Type="http://schemas.openxmlformats.org/officeDocument/2006/relationships/hyperlink" Target="https://www.gwp.org/en/sdg6support/sdgmap/?location=&amp;region=&amp;country=&amp;stage=1&amp;progress=0" TargetMode="External"/><Relationship Id="rId49" Type="http://schemas.openxmlformats.org/officeDocument/2006/relationships/hyperlink" Target="https://www.liberatingstructures.com/" TargetMode="External"/><Relationship Id="rId57" Type="http://schemas.openxmlformats.org/officeDocument/2006/relationships/hyperlink" Target="http://iwrmdataportal.unepdhi.org/reportingmaterials" TargetMode="External"/><Relationship Id="rId10" Type="http://schemas.openxmlformats.org/officeDocument/2006/relationships/endnotes" Target="endnotes.xml"/><Relationship Id="rId31" Type="http://schemas.microsoft.com/office/2007/relationships/diagramDrawing" Target="diagrams/drawing1.xml"/><Relationship Id="rId44" Type="http://schemas.openxmlformats.org/officeDocument/2006/relationships/diagramQuickStyle" Target="diagrams/quickStyle3.xml"/><Relationship Id="rId52" Type="http://schemas.openxmlformats.org/officeDocument/2006/relationships/hyperlink" Target="http://iwrmdataportal.unepdhi.org/reportingmaterials" TargetMode="External"/><Relationship Id="rId60"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xfrm>
          <a:off x="2643" y="350367"/>
          <a:ext cx="1539046" cy="615618"/>
        </a:xfrm>
        <a:solidFill>
          <a:schemeClr val="accent1"/>
        </a:solidFill>
        <a:ln>
          <a:noFill/>
        </a:ln>
        <a:effectLst>
          <a:outerShdw blurRad="57150" dist="19050" dir="5400000" algn="ctr" rotWithShape="0">
            <a:srgbClr val="000000">
              <a:alpha val="63000"/>
            </a:srgbClr>
          </a:outerShdw>
        </a:effectLst>
      </dgm:spPr>
      <dgm:t>
        <a:bodyPr/>
        <a:lstStyle/>
        <a:p>
          <a:r>
            <a:rPr lang="en-US"/>
            <a:t>Preparación</a:t>
          </a:r>
          <a:endParaRPr lang="en-US">
            <a:solidFill>
              <a:sysClr val="window" lastClr="FFFFFF"/>
            </a:solidFill>
            <a:latin typeface="Calibri" panose="020F0502020204030204"/>
            <a:ea typeface="+mn-ea"/>
            <a:cs typeface="+mn-cs"/>
          </a:endParaRP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xfrm>
          <a:off x="2772927" y="350367"/>
          <a:ext cx="1539046" cy="615618"/>
        </a:xfrm>
        <a:solidFill>
          <a:schemeClr val="accent3"/>
        </a:solidFill>
        <a:ln>
          <a:noFill/>
        </a:ln>
        <a:effectLst>
          <a:outerShdw blurRad="57150" dist="19050" dir="5400000" algn="ctr" rotWithShape="0">
            <a:srgbClr val="000000">
              <a:alpha val="63000"/>
            </a:srgbClr>
          </a:outerShdw>
        </a:effectLst>
      </dgm:spPr>
      <dgm:t>
        <a:bodyPr/>
        <a:lstStyle/>
        <a:p>
          <a:r>
            <a:rPr lang="en-US"/>
            <a:t>Presentación</a:t>
          </a:r>
          <a:endParaRPr lang="en-US">
            <a:solidFill>
              <a:sysClr val="window" lastClr="FFFFFF"/>
            </a:solidFill>
            <a:latin typeface="Calibri" panose="020F0502020204030204"/>
            <a:ea typeface="+mn-ea"/>
            <a:cs typeface="+mn-cs"/>
          </a:endParaRP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xfrm>
          <a:off x="4158068" y="350367"/>
          <a:ext cx="1539046" cy="615618"/>
        </a:xfrm>
        <a:solidFill>
          <a:schemeClr val="accent4"/>
        </a:solidFill>
        <a:ln>
          <a:noFill/>
        </a:ln>
        <a:effectLst>
          <a:outerShdw blurRad="57150" dist="19050" dir="5400000" algn="ctr" rotWithShape="0">
            <a:srgbClr val="000000">
              <a:alpha val="63000"/>
            </a:srgbClr>
          </a:outerShdw>
        </a:effectLst>
      </dgm:spPr>
      <dgm:t>
        <a:bodyPr/>
        <a:lstStyle/>
        <a:p>
          <a:r>
            <a:rPr lang="en-US"/>
            <a:t>Seguimiento</a:t>
          </a:r>
          <a:endParaRPr lang="en-US">
            <a:solidFill>
              <a:sysClr val="window" lastClr="FFFFFF"/>
            </a:solidFill>
            <a:latin typeface="Calibri" panose="020F0502020204030204"/>
            <a:ea typeface="+mn-ea"/>
            <a:cs typeface="+mn-cs"/>
          </a:endParaRP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xfrm>
          <a:off x="1387785" y="350367"/>
          <a:ext cx="1539046" cy="615618"/>
        </a:xfrm>
        <a:solidFill>
          <a:schemeClr val="accent2"/>
        </a:solidFill>
        <a:ln>
          <a:noFill/>
        </a:ln>
        <a:effectLst>
          <a:outerShdw blurRad="57150" dist="19050" dir="5400000" algn="ctr" rotWithShape="0">
            <a:srgbClr val="000000">
              <a:alpha val="63000"/>
            </a:srgbClr>
          </a:outerShdw>
        </a:effectLst>
      </dgm:spPr>
      <dgm:t>
        <a:bodyPr/>
        <a:lstStyle/>
        <a:p>
          <a:r>
            <a:rPr lang="en-US"/>
            <a:t>Consultas</a:t>
          </a:r>
          <a:endParaRPr lang="en-US">
            <a:solidFill>
              <a:sysClr val="window" lastClr="FFFFFF"/>
            </a:solidFill>
            <a:latin typeface="Calibri" panose="020F0502020204030204"/>
            <a:ea typeface="+mn-ea"/>
            <a:cs typeface="+mn-cs"/>
          </a:endParaRP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a:prstGeom prst="chevron">
          <a:avLst/>
        </a:prstGeom>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a:prstGeom prst="chevron">
          <a:avLst/>
        </a:prstGeom>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a:prstGeom prst="chevron">
          <a:avLst/>
        </a:prstGeom>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a:prstGeom prst="chevron">
          <a:avLst/>
        </a:prstGeom>
      </dgm:spPr>
    </dgm:pt>
  </dgm:ptLst>
  <dgm:cxnLst>
    <dgm:cxn modelId="{A9972D5F-0C39-49CD-A583-550C3751EE0A}" srcId="{65ABB97B-95A6-4269-AB4A-6E2BB4182A1E}" destId="{3776B13C-9259-4A29-A979-F0B7DB1036AB}" srcOrd="1" destOrd="0" parTransId="{871D206C-0FBB-45F1-8CE6-FDB0531FD7C1}" sibTransId="{662BFE48-A795-45E6-A1F8-48CDF32AFDF7}"/>
    <dgm:cxn modelId="{12EC5647-812C-4C46-AB2E-4294F5BD540D}" type="presOf" srcId="{5DBE37FD-DDBF-44EF-AAA5-09C94C3662E2}" destId="{C7325324-0314-4D59-B2B8-17C9B2BF1837}" srcOrd="0" destOrd="0" presId="urn:microsoft.com/office/officeart/2005/8/layout/chevron1"/>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E5428088-4324-4558-B404-8D05D6651C27}" type="presOf" srcId="{65ABB97B-95A6-4269-AB4A-6E2BB4182A1E}" destId="{4E8087B2-B8D1-40BA-8457-49C7562ABBFF}" srcOrd="0" destOrd="0" presId="urn:microsoft.com/office/officeart/2005/8/layout/chevron1"/>
    <dgm:cxn modelId="{07045BE0-1F92-46EF-8C8E-D088522AA79E}" type="presOf" srcId="{C07BDCC3-922F-4760-8C3A-FDC48D0CA9DB}" destId="{5E8CB7E8-80D3-45DE-AA24-AB9F0929B6D8}" srcOrd="0" destOrd="0" presId="urn:microsoft.com/office/officeart/2005/8/layout/chevron1"/>
    <dgm:cxn modelId="{8231F8E6-2415-4842-86D2-8B27668232BD}" type="presOf" srcId="{FAFDD208-6573-4E6B-A790-B716EDA5E2B0}" destId="{BF55C601-19C5-4573-83E7-37B8EEC82D47}" srcOrd="0" destOrd="0" presId="urn:microsoft.com/office/officeart/2005/8/layout/chevron1"/>
    <dgm:cxn modelId="{1E301FEF-7457-4020-B9B5-134843B4CC55}" type="presOf" srcId="{3776B13C-9259-4A29-A979-F0B7DB1036AB}" destId="{20EDB000-4296-4EA4-969F-A501FBE509BF}"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C808D959-C7C8-4F4B-AAF2-E1D7AF04909C}" type="presParOf" srcId="{4E8087B2-B8D1-40BA-8457-49C7562ABBFF}" destId="{BF55C601-19C5-4573-83E7-37B8EEC82D47}" srcOrd="0" destOrd="0" presId="urn:microsoft.com/office/officeart/2005/8/layout/chevron1"/>
    <dgm:cxn modelId="{39BE1987-7F08-41DE-B1A1-AC8569F8266D}" type="presParOf" srcId="{4E8087B2-B8D1-40BA-8457-49C7562ABBFF}" destId="{E8FA096B-0919-44B4-80BD-B20374CF3154}" srcOrd="1" destOrd="0" presId="urn:microsoft.com/office/officeart/2005/8/layout/chevron1"/>
    <dgm:cxn modelId="{4B0238E8-FC1C-41CD-9C29-BEEBB48A773C}" type="presParOf" srcId="{4E8087B2-B8D1-40BA-8457-49C7562ABBFF}" destId="{20EDB000-4296-4EA4-969F-A501FBE509BF}" srcOrd="2" destOrd="0" presId="urn:microsoft.com/office/officeart/2005/8/layout/chevron1"/>
    <dgm:cxn modelId="{F82694A6-8787-45D1-9175-C63220BF47A4}" type="presParOf" srcId="{4E8087B2-B8D1-40BA-8457-49C7562ABBFF}" destId="{4D8B06B4-426F-44D9-813D-A3B127612CC8}" srcOrd="3" destOrd="0" presId="urn:microsoft.com/office/officeart/2005/8/layout/chevron1"/>
    <dgm:cxn modelId="{4AA40F6D-ED89-4090-A8CD-BEB584994F91}" type="presParOf" srcId="{4E8087B2-B8D1-40BA-8457-49C7562ABBFF}" destId="{5E8CB7E8-80D3-45DE-AA24-AB9F0929B6D8}" srcOrd="4" destOrd="0" presId="urn:microsoft.com/office/officeart/2005/8/layout/chevron1"/>
    <dgm:cxn modelId="{3D43BEF5-1D95-4A52-8B0C-CC92CD1361C2}" type="presParOf" srcId="{4E8087B2-B8D1-40BA-8457-49C7562ABBFF}" destId="{4663A465-DBF0-463D-A9ED-07595FFE57AA}" srcOrd="5" destOrd="0" presId="urn:microsoft.com/office/officeart/2005/8/layout/chevron1"/>
    <dgm:cxn modelId="{1B36A0AA-A2A9-4459-AEAC-422F793221E4}"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solidFill>
          <a:schemeClr val="accent4"/>
        </a:solidFill>
      </dgm:spPr>
      <dgm:t>
        <a:bodyPr/>
        <a:lstStyle/>
        <a:p>
          <a:pPr algn="l"/>
          <a:r>
            <a:rPr lang="en-GB" sz="1000" b="1"/>
            <a:t>Borrador 1</a:t>
          </a:r>
        </a:p>
        <a:p>
          <a:pPr algn="l"/>
          <a:r>
            <a:rPr lang="en-GB" sz="1000"/>
            <a:t>El equipo básico ( p. ej., el coordinador del indicador 6.5.1 de los ODS, el facilitador y representantes gubernamentales) revisa la encuesta</a:t>
          </a:r>
          <a:endParaRPr lang="en-GB" sz="1000" b="1"/>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solidFill>
          <a:schemeClr val="accent1"/>
        </a:solidFill>
      </dgm:spPr>
      <dgm:t>
        <a:bodyPr/>
        <a:lstStyle/>
        <a:p>
          <a:endParaRPr lang="en-GB" sz="1000"/>
        </a:p>
      </dgm:t>
    </dgm:pt>
    <dgm:pt modelId="{79704A19-0FAB-48FB-A2A9-126A598C5DEE}">
      <dgm:prSet phldrT="[Text]" custT="1"/>
      <dgm:spPr>
        <a:solidFill>
          <a:schemeClr val="accent4"/>
        </a:solidFill>
      </dgm:spPr>
      <dgm:t>
        <a:bodyPr/>
        <a:lstStyle/>
        <a:p>
          <a:pPr algn="l"/>
          <a:r>
            <a:rPr lang="en-GB" sz="1000" b="1"/>
            <a:t>Borrador 2</a:t>
          </a:r>
        </a:p>
        <a:p>
          <a:pPr algn="l"/>
          <a:r>
            <a:rPr lang="en-GB" sz="1000"/>
            <a:t>Las partes interesadas gubernamentales revisan la encuesta</a:t>
          </a:r>
          <a:endParaRPr lang="en-GB" sz="1000" b="1"/>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solidFill>
          <a:schemeClr val="accent1"/>
        </a:solidFill>
      </dgm:spPr>
      <dgm:t>
        <a:bodyPr/>
        <a:lstStyle/>
        <a:p>
          <a:endParaRPr lang="en-GB" sz="1000"/>
        </a:p>
      </dgm:t>
    </dgm:pt>
    <dgm:pt modelId="{E55A7F75-1858-4578-BEF5-84B052A939E0}">
      <dgm:prSet phldrT="[Text]" custT="1"/>
      <dgm:spPr>
        <a:solidFill>
          <a:schemeClr val="accent4"/>
        </a:solidFill>
      </dgm:spPr>
      <dgm:t>
        <a:bodyPr/>
        <a:lstStyle/>
        <a:p>
          <a:pPr algn="l"/>
          <a:r>
            <a:rPr lang="en-GB" sz="1000" b="1"/>
            <a:t>Borrador 3</a:t>
          </a:r>
        </a:p>
        <a:p>
          <a:pPr algn="l"/>
          <a:r>
            <a:rPr lang="en-GB" sz="1000"/>
            <a:t>Taller con múltiples interesados para revisar o validar la encuesta</a:t>
          </a:r>
          <a:endParaRPr lang="en-GB" sz="1000" b="1"/>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solidFill>
          <a:schemeClr val="accent1"/>
        </a:solidFill>
      </dgm:spPr>
      <dgm:t>
        <a:bodyPr/>
        <a:lstStyle/>
        <a:p>
          <a:endParaRPr lang="en-GB" sz="1000"/>
        </a:p>
      </dgm:t>
    </dgm:pt>
    <dgm:pt modelId="{529A6636-ABA1-4C82-B945-827406C09C6C}">
      <dgm:prSet phldrT="[Text]" custT="1"/>
      <dgm:spPr>
        <a:solidFill>
          <a:schemeClr val="accent4"/>
        </a:solidFill>
      </dgm:spPr>
      <dgm:t>
        <a:bodyPr/>
        <a:lstStyle/>
        <a:p>
          <a:pPr algn="l"/>
          <a:r>
            <a:rPr lang="en-GB" sz="1000" b="1"/>
            <a:t>Versión definitiva</a:t>
          </a:r>
        </a:p>
        <a:p>
          <a:pPr algn="l"/>
          <a:r>
            <a:rPr lang="en-GB" sz="1000"/>
            <a:t>El equipo básico revisa las aportaciones y finaliza la encuesta. El coordinador presenta la versión definitiva al Programa de las Naciones Unidas para el Medio Ambiente (PNUMA)</a:t>
          </a:r>
          <a:endParaRPr lang="en-GB" sz="1000" b="1"/>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dgm:pt>
    <dgm:pt modelId="{D7483DED-499F-4752-9B30-9CF0B7D7CC19}" type="pres">
      <dgm:prSet presAssocID="{BBBA7028-7D3A-4D97-8108-62FC1D35C066}" presName="sibTrans" presStyleLbl="sibTrans2D1" presStyleIdx="0" presStyleCnt="3"/>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dgm:presLayoutVars>
          <dgm:bulletEnabled val="1"/>
        </dgm:presLayoutVars>
      </dgm:prSet>
      <dgm:spPr/>
    </dgm:pt>
    <dgm:pt modelId="{879FC769-7A97-43A8-A9E6-BB8F0E5787DD}" type="pres">
      <dgm:prSet presAssocID="{0E32ABF9-1D78-4C4E-A687-48A5D7392632}" presName="sibTrans" presStyleLbl="sibTrans2D1" presStyleIdx="1" presStyleCnt="3"/>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dgm:presLayoutVars>
          <dgm:bulletEnabled val="1"/>
        </dgm:presLayoutVars>
      </dgm:prSet>
      <dgm:spPr/>
    </dgm:pt>
    <dgm:pt modelId="{9792789E-098B-4677-AD90-E5C598FCD7AA}" type="pres">
      <dgm:prSet presAssocID="{CC3910CA-ACCF-40D5-9389-8627A91A42E2}" presName="sibTrans" presStyleLbl="sibTrans2D1" presStyleIdx="2" presStyleCnt="3"/>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dgm:presLayoutVars>
          <dgm:bulletEnabled val="1"/>
        </dgm:presLayoutVars>
      </dgm:prSet>
      <dgm:spPr/>
    </dgm:pt>
  </dgm:ptLst>
  <dgm:cxnLst>
    <dgm:cxn modelId="{79620C03-4C3A-411A-A4D0-56955BF6B641}" type="presOf" srcId="{79704A19-0FAB-48FB-A2A9-126A598C5DEE}" destId="{40FD5823-DB41-4DD3-8B52-F04F6C7723E2}" srcOrd="0" destOrd="0" presId="urn:microsoft.com/office/officeart/2005/8/layout/process1"/>
    <dgm:cxn modelId="{6A647C05-91A5-425B-A800-1E638B0B29BE}" type="presOf" srcId="{CC3910CA-ACCF-40D5-9389-8627A91A42E2}" destId="{9792789E-098B-4677-AD90-E5C598FCD7AA}" srcOrd="0" destOrd="0" presId="urn:microsoft.com/office/officeart/2005/8/layout/process1"/>
    <dgm:cxn modelId="{95A8141A-B51A-4E8D-A2CA-BFBB0700C4C1}" type="presOf" srcId="{CC3910CA-ACCF-40D5-9389-8627A91A42E2}" destId="{3691AD9C-439B-470C-9473-761D4BCFA7EB}" srcOrd="1" destOrd="0" presId="urn:microsoft.com/office/officeart/2005/8/layout/process1"/>
    <dgm:cxn modelId="{5E53D730-9091-4034-A9DC-327B8027E7A5}" type="presOf" srcId="{2C7BD89C-2CCF-4F40-8DD4-137B818596A6}" destId="{7BC8D991-4B4B-44EB-B627-8305834F9F32}" srcOrd="0"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21201A48-1EB6-4582-9E5F-5AC88FB69289}" type="presOf" srcId="{529A6636-ABA1-4C82-B945-827406C09C6C}" destId="{98D2D1EA-B460-4EE4-AE18-2E67D77A6BCC}" srcOrd="0" destOrd="0" presId="urn:microsoft.com/office/officeart/2005/8/layout/process1"/>
    <dgm:cxn modelId="{3231836D-07ED-4AA5-948D-C3507C94C829}" srcId="{AB106909-8F3D-4F49-B2A4-CAFFD62AF3B6}" destId="{E55A7F75-1858-4578-BEF5-84B052A939E0}" srcOrd="2" destOrd="0" parTransId="{1C4ECC27-58BF-41BE-89FA-E142D03A1224}" sibTransId="{CC3910CA-ACCF-40D5-9389-8627A91A42E2}"/>
    <dgm:cxn modelId="{E218E757-6AF7-4B3A-9AC6-43828BF501BA}" srcId="{AB106909-8F3D-4F49-B2A4-CAFFD62AF3B6}" destId="{79704A19-0FAB-48FB-A2A9-126A598C5DEE}" srcOrd="1" destOrd="0" parTransId="{BB13C64A-34E9-4ADF-9546-0A47BF1B51EA}" sibTransId="{0E32ABF9-1D78-4C4E-A687-48A5D7392632}"/>
    <dgm:cxn modelId="{008E7578-7CED-4CA5-BEA7-11EF3A28D7CC}" type="presOf" srcId="{AB106909-8F3D-4F49-B2A4-CAFFD62AF3B6}" destId="{FC106771-7EDF-40EC-93B5-4862554AE165}" srcOrd="0" destOrd="0" presId="urn:microsoft.com/office/officeart/2005/8/layout/process1"/>
    <dgm:cxn modelId="{FDEAE678-D45C-49B3-B868-5E246481489C}" srcId="{AB106909-8F3D-4F49-B2A4-CAFFD62AF3B6}" destId="{2C7BD89C-2CCF-4F40-8DD4-137B818596A6}" srcOrd="0" destOrd="0" parTransId="{057B4B13-560F-4991-93C1-DDED76F0B70F}" sibTransId="{BBBA7028-7D3A-4D97-8108-62FC1D35C066}"/>
    <dgm:cxn modelId="{42A3E2B0-1231-440E-9B7E-72A1D36BE075}" type="presOf" srcId="{0E32ABF9-1D78-4C4E-A687-48A5D7392632}" destId="{D7C63753-D1BF-431C-89E3-99A42D6EACEE}" srcOrd="1" destOrd="0" presId="urn:microsoft.com/office/officeart/2005/8/layout/process1"/>
    <dgm:cxn modelId="{F3E4B7D1-33C5-4D86-89F8-E16BBFCD36EC}" type="presOf" srcId="{BBBA7028-7D3A-4D97-8108-62FC1D35C066}" destId="{D7483DED-499F-4752-9B30-9CF0B7D7CC19}" srcOrd="0" destOrd="0" presId="urn:microsoft.com/office/officeart/2005/8/layout/process1"/>
    <dgm:cxn modelId="{904C50D4-7B9D-4305-AA37-FA6C0BA5AED4}" type="presOf" srcId="{BBBA7028-7D3A-4D97-8108-62FC1D35C066}" destId="{BB8581BF-9E3C-4DC2-B973-AB6E78571E9E}" srcOrd="1" destOrd="0" presId="urn:microsoft.com/office/officeart/2005/8/layout/process1"/>
    <dgm:cxn modelId="{9AD6A6DA-1D54-428F-BE3B-6838225E0BC7}" type="presOf" srcId="{0E32ABF9-1D78-4C4E-A687-48A5D7392632}" destId="{879FC769-7A97-43A8-A9E6-BB8F0E5787DD}" srcOrd="0" destOrd="0" presId="urn:microsoft.com/office/officeart/2005/8/layout/process1"/>
    <dgm:cxn modelId="{044B0BDC-61D4-4987-8E8B-30A0E5098416}" type="presOf" srcId="{E55A7F75-1858-4578-BEF5-84B052A939E0}" destId="{8CBE17A1-7A2A-4296-B876-7907D01B6AE1}" srcOrd="0" destOrd="0" presId="urn:microsoft.com/office/officeart/2005/8/layout/process1"/>
    <dgm:cxn modelId="{BA0056A1-7C23-4410-84D6-949A14F3A58B}" type="presParOf" srcId="{FC106771-7EDF-40EC-93B5-4862554AE165}" destId="{7BC8D991-4B4B-44EB-B627-8305834F9F32}" srcOrd="0" destOrd="0" presId="urn:microsoft.com/office/officeart/2005/8/layout/process1"/>
    <dgm:cxn modelId="{91FA133F-DBE3-4820-8FC6-2EA8D3BCC990}" type="presParOf" srcId="{FC106771-7EDF-40EC-93B5-4862554AE165}" destId="{D7483DED-499F-4752-9B30-9CF0B7D7CC19}" srcOrd="1" destOrd="0" presId="urn:microsoft.com/office/officeart/2005/8/layout/process1"/>
    <dgm:cxn modelId="{86ACFE0C-D320-411C-84C6-04F54D0BD9FE}" type="presParOf" srcId="{D7483DED-499F-4752-9B30-9CF0B7D7CC19}" destId="{BB8581BF-9E3C-4DC2-B973-AB6E78571E9E}" srcOrd="0" destOrd="0" presId="urn:microsoft.com/office/officeart/2005/8/layout/process1"/>
    <dgm:cxn modelId="{BD6BF77E-F267-40C6-A7D6-3AA28E8418CF}" type="presParOf" srcId="{FC106771-7EDF-40EC-93B5-4862554AE165}" destId="{40FD5823-DB41-4DD3-8B52-F04F6C7723E2}" srcOrd="2" destOrd="0" presId="urn:microsoft.com/office/officeart/2005/8/layout/process1"/>
    <dgm:cxn modelId="{4C7DA41F-14A5-400A-B9C1-FF1059467E44}" type="presParOf" srcId="{FC106771-7EDF-40EC-93B5-4862554AE165}" destId="{879FC769-7A97-43A8-A9E6-BB8F0E5787DD}" srcOrd="3" destOrd="0" presId="urn:microsoft.com/office/officeart/2005/8/layout/process1"/>
    <dgm:cxn modelId="{8FF6BAA7-AC5A-48B5-8398-A01A93ED1614}" type="presParOf" srcId="{879FC769-7A97-43A8-A9E6-BB8F0E5787DD}" destId="{D7C63753-D1BF-431C-89E3-99A42D6EACEE}" srcOrd="0" destOrd="0" presId="urn:microsoft.com/office/officeart/2005/8/layout/process1"/>
    <dgm:cxn modelId="{DD96270B-1FB6-4D2D-B34E-3C49153E4F8C}" type="presParOf" srcId="{FC106771-7EDF-40EC-93B5-4862554AE165}" destId="{8CBE17A1-7A2A-4296-B876-7907D01B6AE1}" srcOrd="4" destOrd="0" presId="urn:microsoft.com/office/officeart/2005/8/layout/process1"/>
    <dgm:cxn modelId="{B67366C1-AF96-414C-B77B-07E10137C962}" type="presParOf" srcId="{FC106771-7EDF-40EC-93B5-4862554AE165}" destId="{9792789E-098B-4677-AD90-E5C598FCD7AA}" srcOrd="5" destOrd="0" presId="urn:microsoft.com/office/officeart/2005/8/layout/process1"/>
    <dgm:cxn modelId="{FDAEEB04-3225-4BBD-B767-4F0AB26D2742}" type="presParOf" srcId="{9792789E-098B-4677-AD90-E5C598FCD7AA}" destId="{3691AD9C-439B-470C-9473-761D4BCFA7EB}" srcOrd="0" destOrd="0" presId="urn:microsoft.com/office/officeart/2005/8/layout/process1"/>
    <dgm:cxn modelId="{C736479F-58AF-4E43-9805-799DD12311B8}"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4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solidFill>
          <a:schemeClr val="accent4"/>
        </a:solidFill>
      </dgm:spPr>
      <dgm:t>
        <a:bodyPr/>
        <a:lstStyle/>
        <a:p>
          <a:pPr algn="l"/>
          <a:r>
            <a:rPr lang="en-GB" sz="1000" b="1"/>
            <a:t>Respuestas individuales a la encuesta</a:t>
          </a:r>
        </a:p>
        <a:p>
          <a:pPr algn="l"/>
          <a:r>
            <a:rPr lang="en-GB" sz="1000" b="0"/>
            <a:t>Cada parte interesada o grupo de partes interesadas cumplimenta la encuesta por separado</a:t>
          </a:r>
          <a:endParaRPr lang="en-GB" sz="1000" b="1"/>
        </a:p>
      </dgm:t>
    </dgm:pt>
    <dgm:pt modelId="{F2293A8F-4259-475B-8E8D-36FA078225AA}" type="parTrans" cxnId="{AD7C1949-9881-4D70-8184-44948477DB7F}">
      <dgm:prSet/>
      <dgm:spPr/>
      <dgm:t>
        <a:bodyPr/>
        <a:lstStyle/>
        <a:p>
          <a:endParaRPr lang="en-GB" sz="1000"/>
        </a:p>
      </dgm:t>
    </dgm:pt>
    <dgm:pt modelId="{8FB34983-0770-4370-90C7-5AD25DC70386}" type="sibTrans" cxnId="{AD7C1949-9881-4D70-8184-44948477DB7F}">
      <dgm:prSet custT="1"/>
      <dgm:spPr>
        <a:solidFill>
          <a:schemeClr val="accent1"/>
        </a:solidFill>
      </dgm:spPr>
      <dgm:t>
        <a:bodyPr/>
        <a:lstStyle/>
        <a:p>
          <a:endParaRPr lang="en-GB" sz="1000"/>
        </a:p>
      </dgm:t>
    </dgm:pt>
    <dgm:pt modelId="{73E5205E-D736-45DA-86E9-8DD98D487B14}">
      <dgm:prSet phldrT="[Text]" custT="1"/>
      <dgm:spPr>
        <a:solidFill>
          <a:schemeClr val="accent4"/>
        </a:solidFill>
      </dgm:spPr>
      <dgm:t>
        <a:bodyPr/>
        <a:lstStyle/>
        <a:p>
          <a:r>
            <a:rPr lang="en-US" sz="1000" b="1"/>
            <a:t>Borrador 1</a:t>
          </a:r>
        </a:p>
        <a:p>
          <a:pPr algn="l"/>
          <a:r>
            <a:rPr lang="en-US" sz="1000" b="1"/>
            <a:t>Incluye las respuestas compiladas, lo prepara el facilitador y los validad el coordinador</a:t>
          </a:r>
        </a:p>
      </dgm:t>
    </dgm:pt>
    <dgm:pt modelId="{5BF69FCB-E949-46B1-A512-38816D1EB2F5}" type="parTrans" cxnId="{356BCB7F-614F-4D2C-8D29-39171EAEA64C}">
      <dgm:prSet/>
      <dgm:spPr/>
      <dgm:t>
        <a:bodyPr/>
        <a:lstStyle/>
        <a:p>
          <a:endParaRPr lang="en-GB" sz="1000"/>
        </a:p>
      </dgm:t>
    </dgm:pt>
    <dgm:pt modelId="{5042B602-4127-4590-BCFD-C635208423AF}" type="sibTrans" cxnId="{356BCB7F-614F-4D2C-8D29-39171EAEA64C}">
      <dgm:prSet custT="1"/>
      <dgm:spPr>
        <a:solidFill>
          <a:schemeClr val="accent1"/>
        </a:solidFill>
      </dgm:spPr>
      <dgm:t>
        <a:bodyPr/>
        <a:lstStyle/>
        <a:p>
          <a:endParaRPr lang="en-GB" sz="1000"/>
        </a:p>
      </dgm:t>
    </dgm:pt>
    <dgm:pt modelId="{7C9296BA-AA9D-443C-9817-A962254E2EE5}">
      <dgm:prSet phldrT="[Text]" custT="1"/>
      <dgm:spPr>
        <a:solidFill>
          <a:schemeClr val="accent4"/>
        </a:solidFill>
      </dgm:spPr>
      <dgm:t>
        <a:bodyPr/>
        <a:lstStyle/>
        <a:p>
          <a:pPr algn="l"/>
          <a:r>
            <a:rPr lang="en-GB" sz="1000" b="1"/>
            <a:t>Versión definitiva</a:t>
          </a:r>
        </a:p>
        <a:p>
          <a:pPr algn="l"/>
          <a:r>
            <a:rPr lang="en-GB" sz="1000"/>
            <a:t>Taller con múltiples interesados para llegar a un acuerdo definitivo. El coordinador presenta la encuesta definitiva al PNUMA después del taller</a:t>
          </a:r>
          <a:endParaRPr lang="en-GB" sz="1000" b="1"/>
        </a:p>
      </dgm:t>
    </dgm:pt>
    <dgm:pt modelId="{28A98BC8-CFC9-4774-90E6-4A51E39330DD}" type="parTrans" cxnId="{1AA1B276-8874-4957-BB29-A1E0C5098948}">
      <dgm:prSet/>
      <dgm:spPr/>
      <dgm:t>
        <a:bodyPr/>
        <a:lstStyle/>
        <a:p>
          <a:endParaRPr lang="en-GB" sz="1000"/>
        </a:p>
      </dgm:t>
    </dgm:pt>
    <dgm:pt modelId="{B5551ABB-F1FB-496D-ABFA-79263C1E1800}" type="sibTrans" cxnId="{1AA1B276-8874-4957-BB29-A1E0C5098948}">
      <dgm:prSet/>
      <dgm:spPr/>
      <dgm:t>
        <a:bodyPr/>
        <a:lstStyle/>
        <a:p>
          <a:endParaRPr lang="en-GB" sz="1000"/>
        </a:p>
      </dgm:t>
    </dgm:pt>
    <dgm:pt modelId="{95303720-DC00-4184-9914-47E9B7FC6B9C}" type="pres">
      <dgm:prSet presAssocID="{2D0BD744-3615-4BCA-8C0A-412A5BF015F9}" presName="Name0" presStyleCnt="0">
        <dgm:presLayoutVars>
          <dgm:dir/>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dgm:pt>
    <dgm:pt modelId="{4C1BC733-799C-4A6D-88F7-376A970224E8}" type="pres">
      <dgm:prSet presAssocID="{8FB34983-0770-4370-90C7-5AD25DC70386}" presName="sibTrans" presStyleLbl="sibTrans2D1" presStyleIdx="0" presStyleCnt="2"/>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dgm:pt>
    <dgm:pt modelId="{DC697EDE-1335-41C4-871E-62F69240759C}" type="pres">
      <dgm:prSet presAssocID="{5042B602-4127-4590-BCFD-C635208423AF}" presName="sibTrans" presStyleLbl="sibTrans2D1" presStyleIdx="1" presStyleCnt="2"/>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dgm:presLayoutVars>
          <dgm:bulletEnabled val="1"/>
        </dgm:presLayoutVars>
      </dgm:prSet>
      <dgm:spPr/>
    </dgm:pt>
  </dgm:ptLst>
  <dgm:cxnLst>
    <dgm:cxn modelId="{FE36F314-F356-496E-B35C-0044A5B1C4A9}" type="presOf" srcId="{5042B602-4127-4590-BCFD-C635208423AF}" destId="{DC697EDE-1335-41C4-871E-62F69240759C}" srcOrd="0" destOrd="0" presId="urn:microsoft.com/office/officeart/2005/8/layout/process1"/>
    <dgm:cxn modelId="{701A7320-CA75-4375-A3CA-C47EE38A8101}" type="presOf" srcId="{7C9296BA-AA9D-443C-9817-A962254E2EE5}" destId="{7643648B-9D7B-4117-898A-01C197787E58}" srcOrd="0" destOrd="0" presId="urn:microsoft.com/office/officeart/2005/8/layout/process1"/>
    <dgm:cxn modelId="{20DF8C2D-876C-4E8D-8BAD-40CD281311FD}" type="presOf" srcId="{5042B602-4127-4590-BCFD-C635208423AF}" destId="{A264D7E8-C3ED-4794-9EC3-6AB8F21168E5}" srcOrd="1" destOrd="0" presId="urn:microsoft.com/office/officeart/2005/8/layout/process1"/>
    <dgm:cxn modelId="{34AAE62F-FD89-4095-9582-4FB9C693F10F}" type="presOf" srcId="{E74613DA-E57C-4ACF-8C3A-30BDA202F6F6}" destId="{5DE075F4-6618-4A25-93FF-68F10B971C48}" srcOrd="0"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53099283-0265-421C-A018-8A00C5D51FF5}" type="presOf" srcId="{73E5205E-D736-45DA-86E9-8DD98D487B14}" destId="{7D7307A3-40CC-4E97-B4D9-9AE2F9F18B32}" srcOrd="0" destOrd="0" presId="urn:microsoft.com/office/officeart/2005/8/layout/process1"/>
    <dgm:cxn modelId="{BA5C27B2-C19B-44B3-89D9-C210C13FFF0D}" type="presOf" srcId="{8FB34983-0770-4370-90C7-5AD25DC70386}" destId="{4C1BC733-799C-4A6D-88F7-376A970224E8}" srcOrd="0" destOrd="0" presId="urn:microsoft.com/office/officeart/2005/8/layout/process1"/>
    <dgm:cxn modelId="{FF4097B6-E38B-4013-81B6-A1E4053A3F26}" type="presOf" srcId="{2D0BD744-3615-4BCA-8C0A-412A5BF015F9}" destId="{95303720-DC00-4184-9914-47E9B7FC6B9C}" srcOrd="0" destOrd="0" presId="urn:microsoft.com/office/officeart/2005/8/layout/process1"/>
    <dgm:cxn modelId="{2C829ED1-1876-4894-8380-BCF0E0BB7F31}" type="presOf" srcId="{8FB34983-0770-4370-90C7-5AD25DC70386}" destId="{92D40E60-81FD-4FC0-B035-E58DAEA04CC8}" srcOrd="1" destOrd="0" presId="urn:microsoft.com/office/officeart/2005/8/layout/process1"/>
    <dgm:cxn modelId="{200BE8F2-FD78-4A1B-B409-ED4213D844AF}" type="presParOf" srcId="{95303720-DC00-4184-9914-47E9B7FC6B9C}" destId="{5DE075F4-6618-4A25-93FF-68F10B971C48}" srcOrd="0" destOrd="0" presId="urn:microsoft.com/office/officeart/2005/8/layout/process1"/>
    <dgm:cxn modelId="{E61CBE67-3C7D-4E1F-BC3C-469D9F44C612}" type="presParOf" srcId="{95303720-DC00-4184-9914-47E9B7FC6B9C}" destId="{4C1BC733-799C-4A6D-88F7-376A970224E8}" srcOrd="1" destOrd="0" presId="urn:microsoft.com/office/officeart/2005/8/layout/process1"/>
    <dgm:cxn modelId="{06421290-6C10-4D03-80D1-EED4A30366A6}" type="presParOf" srcId="{4C1BC733-799C-4A6D-88F7-376A970224E8}" destId="{92D40E60-81FD-4FC0-B035-E58DAEA04CC8}" srcOrd="0" destOrd="0" presId="urn:microsoft.com/office/officeart/2005/8/layout/process1"/>
    <dgm:cxn modelId="{4D6406D5-8553-453E-B255-696E1CB17609}" type="presParOf" srcId="{95303720-DC00-4184-9914-47E9B7FC6B9C}" destId="{7D7307A3-40CC-4E97-B4D9-9AE2F9F18B32}" srcOrd="2" destOrd="0" presId="urn:microsoft.com/office/officeart/2005/8/layout/process1"/>
    <dgm:cxn modelId="{08A8C72E-CC59-4E6F-A7B0-6F79181F6319}" type="presParOf" srcId="{95303720-DC00-4184-9914-47E9B7FC6B9C}" destId="{DC697EDE-1335-41C4-871E-62F69240759C}" srcOrd="3" destOrd="0" presId="urn:microsoft.com/office/officeart/2005/8/layout/process1"/>
    <dgm:cxn modelId="{5719399A-977D-4450-AA2B-F03A10AE305B}" type="presParOf" srcId="{DC697EDE-1335-41C4-871E-62F69240759C}" destId="{A264D7E8-C3ED-4794-9EC3-6AB8F21168E5}" srcOrd="0" destOrd="0" presId="urn:microsoft.com/office/officeart/2005/8/layout/process1"/>
    <dgm:cxn modelId="{78FF70E4-5512-4522-87B8-3EC66E5972A1}"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a:off x="2643" y="230387"/>
          <a:ext cx="1538875" cy="615550"/>
        </a:xfrm>
        <a:prstGeom prst="chevron">
          <a:avLst/>
        </a:prstGeom>
        <a:solidFill>
          <a:schemeClr val="accent1"/>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48006" tIns="16002" rIns="16002" bIns="16002" numCol="1" spcCol="1270" anchor="ctr" anchorCtr="0">
          <a:noAutofit/>
        </a:bodyPr>
        <a:lstStyle/>
        <a:p>
          <a:pPr marL="0" lvl="0" indent="0" algn="ctr" defTabSz="533400">
            <a:lnSpc>
              <a:spcPct val="90000"/>
            </a:lnSpc>
            <a:spcBef>
              <a:spcPct val="0"/>
            </a:spcBef>
            <a:spcAft>
              <a:spcPct val="35000"/>
            </a:spcAft>
            <a:buNone/>
          </a:pPr>
          <a:r>
            <a:rPr lang="en-US" sz="1200" kern="1200"/>
            <a:t>Preparación</a:t>
          </a:r>
          <a:endParaRPr lang="en-US" sz="1200" kern="1200">
            <a:solidFill>
              <a:sysClr val="window" lastClr="FFFFFF"/>
            </a:solidFill>
            <a:latin typeface="Calibri" panose="020F0502020204030204"/>
            <a:ea typeface="+mn-ea"/>
            <a:cs typeface="+mn-cs"/>
          </a:endParaRPr>
        </a:p>
      </dsp:txBody>
      <dsp:txXfrm>
        <a:off x="310418" y="230387"/>
        <a:ext cx="923325" cy="615550"/>
      </dsp:txXfrm>
    </dsp:sp>
    <dsp:sp modelId="{20EDB000-4296-4EA4-969F-A501FBE509BF}">
      <dsp:nvSpPr>
        <dsp:cNvPr id="0" name=""/>
        <dsp:cNvSpPr/>
      </dsp:nvSpPr>
      <dsp:spPr>
        <a:xfrm>
          <a:off x="1387631" y="230387"/>
          <a:ext cx="1538875" cy="615550"/>
        </a:xfrm>
        <a:prstGeom prst="chevron">
          <a:avLst/>
        </a:prstGeom>
        <a:solidFill>
          <a:schemeClr val="accent2"/>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48006" tIns="16002" rIns="16002" bIns="16002" numCol="1" spcCol="1270" anchor="ctr" anchorCtr="0">
          <a:noAutofit/>
        </a:bodyPr>
        <a:lstStyle/>
        <a:p>
          <a:pPr marL="0" lvl="0" indent="0" algn="ctr" defTabSz="533400">
            <a:lnSpc>
              <a:spcPct val="90000"/>
            </a:lnSpc>
            <a:spcBef>
              <a:spcPct val="0"/>
            </a:spcBef>
            <a:spcAft>
              <a:spcPct val="35000"/>
            </a:spcAft>
            <a:buNone/>
          </a:pPr>
          <a:r>
            <a:rPr lang="en-US" sz="1200" kern="1200"/>
            <a:t>Consultas</a:t>
          </a:r>
          <a:endParaRPr lang="en-US" sz="1200" kern="1200">
            <a:solidFill>
              <a:sysClr val="window" lastClr="FFFFFF"/>
            </a:solidFill>
            <a:latin typeface="Calibri" panose="020F0502020204030204"/>
            <a:ea typeface="+mn-ea"/>
            <a:cs typeface="+mn-cs"/>
          </a:endParaRPr>
        </a:p>
      </dsp:txBody>
      <dsp:txXfrm>
        <a:off x="1695406" y="230387"/>
        <a:ext cx="923325" cy="615550"/>
      </dsp:txXfrm>
    </dsp:sp>
    <dsp:sp modelId="{5E8CB7E8-80D3-45DE-AA24-AB9F0929B6D8}">
      <dsp:nvSpPr>
        <dsp:cNvPr id="0" name=""/>
        <dsp:cNvSpPr/>
      </dsp:nvSpPr>
      <dsp:spPr>
        <a:xfrm>
          <a:off x="2772618" y="230387"/>
          <a:ext cx="1538875" cy="615550"/>
        </a:xfrm>
        <a:prstGeom prst="chevron">
          <a:avLst/>
        </a:prstGeom>
        <a:solidFill>
          <a:schemeClr val="accent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48006" tIns="16002" rIns="16002" bIns="16002" numCol="1" spcCol="1270" anchor="ctr" anchorCtr="0">
          <a:noAutofit/>
        </a:bodyPr>
        <a:lstStyle/>
        <a:p>
          <a:pPr marL="0" lvl="0" indent="0" algn="ctr" defTabSz="533400">
            <a:lnSpc>
              <a:spcPct val="90000"/>
            </a:lnSpc>
            <a:spcBef>
              <a:spcPct val="0"/>
            </a:spcBef>
            <a:spcAft>
              <a:spcPct val="35000"/>
            </a:spcAft>
            <a:buNone/>
          </a:pPr>
          <a:r>
            <a:rPr lang="en-US" sz="1200" kern="1200"/>
            <a:t>Presentación</a:t>
          </a:r>
          <a:endParaRPr lang="en-US" sz="1200" kern="1200">
            <a:solidFill>
              <a:sysClr val="window" lastClr="FFFFFF"/>
            </a:solidFill>
            <a:latin typeface="Calibri" panose="020F0502020204030204"/>
            <a:ea typeface="+mn-ea"/>
            <a:cs typeface="+mn-cs"/>
          </a:endParaRPr>
        </a:p>
      </dsp:txBody>
      <dsp:txXfrm>
        <a:off x="3080393" y="230387"/>
        <a:ext cx="923325" cy="615550"/>
      </dsp:txXfrm>
    </dsp:sp>
    <dsp:sp modelId="{C7325324-0314-4D59-B2B8-17C9B2BF1837}">
      <dsp:nvSpPr>
        <dsp:cNvPr id="0" name=""/>
        <dsp:cNvSpPr/>
      </dsp:nvSpPr>
      <dsp:spPr>
        <a:xfrm>
          <a:off x="4157606" y="230387"/>
          <a:ext cx="1538875" cy="615550"/>
        </a:xfrm>
        <a:prstGeom prst="chevron">
          <a:avLst/>
        </a:prstGeom>
        <a:solidFill>
          <a:schemeClr val="accent4"/>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48006" tIns="16002" rIns="16002" bIns="16002" numCol="1" spcCol="1270" anchor="ctr" anchorCtr="0">
          <a:noAutofit/>
        </a:bodyPr>
        <a:lstStyle/>
        <a:p>
          <a:pPr marL="0" lvl="0" indent="0" algn="ctr" defTabSz="533400">
            <a:lnSpc>
              <a:spcPct val="90000"/>
            </a:lnSpc>
            <a:spcBef>
              <a:spcPct val="0"/>
            </a:spcBef>
            <a:spcAft>
              <a:spcPct val="35000"/>
            </a:spcAft>
            <a:buNone/>
          </a:pPr>
          <a:r>
            <a:rPr lang="en-US" sz="1200" kern="1200"/>
            <a:t>Seguimiento</a:t>
          </a:r>
          <a:endParaRPr lang="en-US" sz="1200" kern="1200">
            <a:solidFill>
              <a:sysClr val="window" lastClr="FFFFFF"/>
            </a:solidFill>
            <a:latin typeface="Calibri" panose="020F0502020204030204"/>
            <a:ea typeface="+mn-ea"/>
            <a:cs typeface="+mn-cs"/>
          </a:endParaRPr>
        </a:p>
      </dsp:txBody>
      <dsp:txXfrm>
        <a:off x="4465381" y="230387"/>
        <a:ext cx="923325" cy="61555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3769" y="15472"/>
          <a:ext cx="1373338" cy="229061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Borrador 1</a:t>
          </a:r>
        </a:p>
        <a:p>
          <a:pPr marL="0" lvl="0" indent="0" algn="l" defTabSz="444500">
            <a:lnSpc>
              <a:spcPct val="90000"/>
            </a:lnSpc>
            <a:spcBef>
              <a:spcPct val="0"/>
            </a:spcBef>
            <a:spcAft>
              <a:spcPct val="35000"/>
            </a:spcAft>
            <a:buNone/>
          </a:pPr>
          <a:r>
            <a:rPr lang="en-GB" sz="1000" kern="1200"/>
            <a:t>El equipo básico ( p. ej., el coordinador del indicador 6.5.1 de los ODS, el facilitador y representantes gubernamentales) revisa la encuesta</a:t>
          </a:r>
          <a:endParaRPr lang="en-GB" sz="1000" b="1" kern="1200"/>
        </a:p>
      </dsp:txBody>
      <dsp:txXfrm>
        <a:off x="43993" y="55696"/>
        <a:ext cx="1292890" cy="2210166"/>
      </dsp:txXfrm>
    </dsp:sp>
    <dsp:sp modelId="{D7483DED-499F-4752-9B30-9CF0B7D7CC19}">
      <dsp:nvSpPr>
        <dsp:cNvPr id="0" name=""/>
        <dsp:cNvSpPr/>
      </dsp:nvSpPr>
      <dsp:spPr>
        <a:xfrm>
          <a:off x="1480695" y="1032332"/>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1480695" y="1083711"/>
        <a:ext cx="153722" cy="154136"/>
      </dsp:txXfrm>
    </dsp:sp>
    <dsp:sp modelId="{40FD5823-DB41-4DD3-8B52-F04F6C7723E2}">
      <dsp:nvSpPr>
        <dsp:cNvPr id="0" name=""/>
        <dsp:cNvSpPr/>
      </dsp:nvSpPr>
      <dsp:spPr>
        <a:xfrm>
          <a:off x="1791454" y="15472"/>
          <a:ext cx="1035864" cy="229061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Borrador 2</a:t>
          </a:r>
        </a:p>
        <a:p>
          <a:pPr marL="0" lvl="0" indent="0" algn="l" defTabSz="444500">
            <a:lnSpc>
              <a:spcPct val="90000"/>
            </a:lnSpc>
            <a:spcBef>
              <a:spcPct val="0"/>
            </a:spcBef>
            <a:spcAft>
              <a:spcPct val="35000"/>
            </a:spcAft>
            <a:buNone/>
          </a:pPr>
          <a:r>
            <a:rPr lang="en-GB" sz="1000" kern="1200"/>
            <a:t>Las partes interesadas gubernamentales revisan la encuesta</a:t>
          </a:r>
          <a:endParaRPr lang="en-GB" sz="1000" b="1" kern="1200"/>
        </a:p>
      </dsp:txBody>
      <dsp:txXfrm>
        <a:off x="1821793" y="45811"/>
        <a:ext cx="975186" cy="2229936"/>
      </dsp:txXfrm>
    </dsp:sp>
    <dsp:sp modelId="{879FC769-7A97-43A8-A9E6-BB8F0E5787DD}">
      <dsp:nvSpPr>
        <dsp:cNvPr id="0" name=""/>
        <dsp:cNvSpPr/>
      </dsp:nvSpPr>
      <dsp:spPr>
        <a:xfrm>
          <a:off x="2930905" y="1032332"/>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930905" y="1083711"/>
        <a:ext cx="153722" cy="154136"/>
      </dsp:txXfrm>
    </dsp:sp>
    <dsp:sp modelId="{8CBE17A1-7A2A-4296-B876-7907D01B6AE1}">
      <dsp:nvSpPr>
        <dsp:cNvPr id="0" name=""/>
        <dsp:cNvSpPr/>
      </dsp:nvSpPr>
      <dsp:spPr>
        <a:xfrm>
          <a:off x="3241665" y="15472"/>
          <a:ext cx="1035864" cy="229061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Borrador 3</a:t>
          </a:r>
        </a:p>
        <a:p>
          <a:pPr marL="0" lvl="0" indent="0" algn="l" defTabSz="444500">
            <a:lnSpc>
              <a:spcPct val="90000"/>
            </a:lnSpc>
            <a:spcBef>
              <a:spcPct val="0"/>
            </a:spcBef>
            <a:spcAft>
              <a:spcPct val="35000"/>
            </a:spcAft>
            <a:buNone/>
          </a:pPr>
          <a:r>
            <a:rPr lang="en-GB" sz="1000" kern="1200"/>
            <a:t>Taller con múltiples interesados para revisar o validar la encuesta</a:t>
          </a:r>
          <a:endParaRPr lang="en-GB" sz="1000" b="1" kern="1200"/>
        </a:p>
      </dsp:txBody>
      <dsp:txXfrm>
        <a:off x="3272004" y="45811"/>
        <a:ext cx="975186" cy="2229936"/>
      </dsp:txXfrm>
    </dsp:sp>
    <dsp:sp modelId="{9792789E-098B-4677-AD90-E5C598FCD7AA}">
      <dsp:nvSpPr>
        <dsp:cNvPr id="0" name=""/>
        <dsp:cNvSpPr/>
      </dsp:nvSpPr>
      <dsp:spPr>
        <a:xfrm>
          <a:off x="4381116" y="1032332"/>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4381116" y="1083711"/>
        <a:ext cx="153722" cy="154136"/>
      </dsp:txXfrm>
    </dsp:sp>
    <dsp:sp modelId="{98D2D1EA-B460-4EE4-AE18-2E67D77A6BCC}">
      <dsp:nvSpPr>
        <dsp:cNvPr id="0" name=""/>
        <dsp:cNvSpPr/>
      </dsp:nvSpPr>
      <dsp:spPr>
        <a:xfrm>
          <a:off x="4691875" y="15472"/>
          <a:ext cx="1035864" cy="229061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Versión definitiva</a:t>
          </a:r>
        </a:p>
        <a:p>
          <a:pPr marL="0" lvl="0" indent="0" algn="l" defTabSz="444500">
            <a:lnSpc>
              <a:spcPct val="90000"/>
            </a:lnSpc>
            <a:spcBef>
              <a:spcPct val="0"/>
            </a:spcBef>
            <a:spcAft>
              <a:spcPct val="35000"/>
            </a:spcAft>
            <a:buNone/>
          </a:pPr>
          <a:r>
            <a:rPr lang="en-GB" sz="1000" kern="1200"/>
            <a:t>El equipo básico revisa las aportaciones y finaliza la encuesta. El coordinador presenta la versión definitiva al Programa de las Naciones Unidas para el Medio Ambiente (PNUMA)</a:t>
          </a:r>
          <a:endParaRPr lang="en-GB" sz="1000" b="1" kern="1200"/>
        </a:p>
      </dsp:txBody>
      <dsp:txXfrm>
        <a:off x="4722214" y="45811"/>
        <a:ext cx="975186" cy="222993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226" y="21971"/>
          <a:ext cx="1966189" cy="1462911"/>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Respuestas individuales a la encuesta</a:t>
          </a:r>
        </a:p>
        <a:p>
          <a:pPr marL="0" lvl="0" indent="0" algn="l" defTabSz="444500">
            <a:lnSpc>
              <a:spcPct val="90000"/>
            </a:lnSpc>
            <a:spcBef>
              <a:spcPct val="0"/>
            </a:spcBef>
            <a:spcAft>
              <a:spcPct val="35000"/>
            </a:spcAft>
            <a:buNone/>
          </a:pPr>
          <a:r>
            <a:rPr lang="en-GB" sz="1000" b="0" kern="1200"/>
            <a:t>Cada parte interesada o grupo de partes interesadas cumplimenta la encuesta por separado</a:t>
          </a:r>
          <a:endParaRPr lang="en-GB" sz="1000" b="1" kern="1200"/>
        </a:p>
      </dsp:txBody>
      <dsp:txXfrm>
        <a:off x="43073" y="64818"/>
        <a:ext cx="1880495" cy="1377217"/>
      </dsp:txXfrm>
    </dsp:sp>
    <dsp:sp modelId="{4C1BC733-799C-4A6D-88F7-376A970224E8}">
      <dsp:nvSpPr>
        <dsp:cNvPr id="0" name=""/>
        <dsp:cNvSpPr/>
      </dsp:nvSpPr>
      <dsp:spPr>
        <a:xfrm>
          <a:off x="2096521" y="592097"/>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096521" y="656629"/>
        <a:ext cx="193076" cy="193596"/>
      </dsp:txXfrm>
    </dsp:sp>
    <dsp:sp modelId="{7D7307A3-40CC-4E97-B4D9-9AE2F9F18B32}">
      <dsp:nvSpPr>
        <dsp:cNvPr id="0" name=""/>
        <dsp:cNvSpPr/>
      </dsp:nvSpPr>
      <dsp:spPr>
        <a:xfrm>
          <a:off x="2486837" y="21971"/>
          <a:ext cx="1301052" cy="1462911"/>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defTabSz="444500">
            <a:lnSpc>
              <a:spcPct val="90000"/>
            </a:lnSpc>
            <a:spcBef>
              <a:spcPct val="0"/>
            </a:spcBef>
            <a:spcAft>
              <a:spcPct val="35000"/>
            </a:spcAft>
            <a:buNone/>
          </a:pPr>
          <a:r>
            <a:rPr lang="en-US" sz="1000" b="1" kern="1200"/>
            <a:t>Borrador 1</a:t>
          </a:r>
        </a:p>
        <a:p>
          <a:pPr marL="0" lvl="0" indent="0" algn="l" defTabSz="444500">
            <a:lnSpc>
              <a:spcPct val="90000"/>
            </a:lnSpc>
            <a:spcBef>
              <a:spcPct val="0"/>
            </a:spcBef>
            <a:spcAft>
              <a:spcPct val="35000"/>
            </a:spcAft>
            <a:buNone/>
          </a:pPr>
          <a:r>
            <a:rPr lang="en-US" sz="1000" b="1" kern="1200"/>
            <a:t>Incluye las respuestas compiladas, lo prepara el facilitador y los validad el coordinador</a:t>
          </a:r>
        </a:p>
      </dsp:txBody>
      <dsp:txXfrm>
        <a:off x="2524944" y="60078"/>
        <a:ext cx="1224838" cy="1386697"/>
      </dsp:txXfrm>
    </dsp:sp>
    <dsp:sp modelId="{DC697EDE-1335-41C4-871E-62F69240759C}">
      <dsp:nvSpPr>
        <dsp:cNvPr id="0" name=""/>
        <dsp:cNvSpPr/>
      </dsp:nvSpPr>
      <dsp:spPr>
        <a:xfrm>
          <a:off x="3917994" y="592097"/>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3917994" y="656629"/>
        <a:ext cx="193076" cy="193596"/>
      </dsp:txXfrm>
    </dsp:sp>
    <dsp:sp modelId="{7643648B-9D7B-4117-898A-01C197787E58}">
      <dsp:nvSpPr>
        <dsp:cNvPr id="0" name=""/>
        <dsp:cNvSpPr/>
      </dsp:nvSpPr>
      <dsp:spPr>
        <a:xfrm>
          <a:off x="4308310" y="21971"/>
          <a:ext cx="1301052" cy="1462911"/>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Versión definitiva</a:t>
          </a:r>
        </a:p>
        <a:p>
          <a:pPr marL="0" lvl="0" indent="0" algn="l" defTabSz="444500">
            <a:lnSpc>
              <a:spcPct val="90000"/>
            </a:lnSpc>
            <a:spcBef>
              <a:spcPct val="0"/>
            </a:spcBef>
            <a:spcAft>
              <a:spcPct val="35000"/>
            </a:spcAft>
            <a:buNone/>
          </a:pPr>
          <a:r>
            <a:rPr lang="en-GB" sz="1000" kern="1200"/>
            <a:t>Taller con múltiples interesados para llegar a un acuerdo definitivo. El coordinador presenta la encuesta definitiva al PNUMA después del taller</a:t>
          </a:r>
          <a:endParaRPr lang="en-GB" sz="1000" b="1" kern="1200"/>
        </a:p>
      </dsp:txBody>
      <dsp:txXfrm>
        <a:off x="4346417" y="60078"/>
        <a:ext cx="1224838" cy="1386697"/>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10F79A-0C02-4BAA-9825-E6E2898E43D7}"/>
</file>

<file path=customXml/itemProps2.xml><?xml version="1.0" encoding="utf-8"?>
<ds:datastoreItem xmlns:ds="http://schemas.openxmlformats.org/officeDocument/2006/customXml" ds:itemID="{93764787-9E34-4FF2-8172-02E1A7A59A25}">
  <ds:schemaRefs>
    <ds:schemaRef ds:uri="http://schemas.openxmlformats.org/officeDocument/2006/bibliography"/>
  </ds:schemaRefs>
</ds:datastoreItem>
</file>

<file path=customXml/itemProps3.xml><?xml version="1.0" encoding="utf-8"?>
<ds:datastoreItem xmlns:ds="http://schemas.openxmlformats.org/officeDocument/2006/customXml" ds:itemID="{699AD4B9-EB4D-42B0-86D0-D4FCA36EB75C}">
  <ds:schemaRefs>
    <ds:schemaRef ds:uri="http://www.w3.org/XML/1998/namespace"/>
    <ds:schemaRef ds:uri="http://schemas.microsoft.com/office/2006/documentManagement/types"/>
    <ds:schemaRef ds:uri="http://purl.org/dc/terms/"/>
    <ds:schemaRef ds:uri="73aa4948-b2bb-4bb6-a4ce-3dbfd67606c8"/>
    <ds:schemaRef ds:uri="5e01a736-1b88-436b-a44b-5245e0be4ab3"/>
    <ds:schemaRef ds:uri="http://schemas.microsoft.com/office/2006/metadata/properties"/>
    <ds:schemaRef ds:uri="http://purl.org/dc/dcmitype/"/>
    <ds:schemaRef ds:uri="http://purl.org/dc/elements/1.1/"/>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4307</Words>
  <Characters>24553</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2023-04-13T11:56:00Z</dcterms:created>
  <dcterms:modified xsi:type="dcterms:W3CDTF">2023-04-13T11:56:00Z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Order">
    <vt:r8>6558000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